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ind w:firstLine="480"/>
        <w:jc w:val="center"/>
        <w:rPr>
          <w:rFonts w:ascii="黑体" w:hAnsi="黑体" w:eastAsia="黑体" w:cs="宋体"/>
          <w:color w:val="000000"/>
          <w:kern w:val="0"/>
          <w:sz w:val="36"/>
          <w:szCs w:val="36"/>
        </w:rPr>
      </w:pPr>
      <w:r>
        <w:rPr>
          <w:rFonts w:hint="eastAsia" w:ascii="黑体" w:hAnsi="黑体" w:eastAsia="黑体" w:cs="宋体"/>
          <w:color w:val="000000"/>
          <w:kern w:val="0"/>
          <w:sz w:val="36"/>
          <w:szCs w:val="36"/>
        </w:rPr>
        <w:t>会宁县工商行政管理局</w:t>
      </w:r>
      <w:r>
        <w:rPr>
          <w:rFonts w:hint="eastAsia" w:ascii="黑体" w:eastAsia="黑体"/>
          <w:kern w:val="0"/>
          <w:sz w:val="36"/>
          <w:szCs w:val="36"/>
        </w:rPr>
        <w:t>2015年</w:t>
      </w:r>
      <w:r>
        <w:rPr>
          <w:rFonts w:hint="eastAsia" w:ascii="黑体" w:eastAsia="黑体"/>
          <w:kern w:val="0"/>
          <w:sz w:val="36"/>
          <w:szCs w:val="36"/>
          <w:lang w:eastAsia="zh-CN"/>
        </w:rPr>
        <w:t>度部门</w:t>
      </w:r>
      <w:r>
        <w:rPr>
          <w:rFonts w:hint="eastAsia" w:ascii="黑体" w:eastAsia="黑体"/>
          <w:kern w:val="0"/>
          <w:sz w:val="36"/>
          <w:szCs w:val="36"/>
        </w:rPr>
        <w:t>决算</w:t>
      </w:r>
      <w:r>
        <w:rPr>
          <w:rFonts w:hint="eastAsia" w:ascii="黑体" w:eastAsia="黑体"/>
          <w:kern w:val="0"/>
          <w:sz w:val="36"/>
          <w:szCs w:val="36"/>
          <w:lang w:eastAsia="zh-CN"/>
        </w:rPr>
        <w:t>公开</w:t>
      </w:r>
      <w:r>
        <w:rPr>
          <w:rFonts w:hint="eastAsia" w:ascii="黑体" w:eastAsia="黑体"/>
          <w:kern w:val="0"/>
          <w:sz w:val="36"/>
          <w:szCs w:val="36"/>
        </w:rPr>
        <w:t>说明</w:t>
      </w:r>
    </w:p>
    <w:p>
      <w:pPr>
        <w:widowControl/>
        <w:spacing w:line="315" w:lineRule="atLeast"/>
        <w:jc w:val="both"/>
        <w:rPr>
          <w:rFonts w:ascii="黑体" w:hAnsi="黑体" w:eastAsia="黑体" w:cs="宋体"/>
          <w:color w:val="000000"/>
          <w:kern w:val="0"/>
          <w:sz w:val="32"/>
          <w:szCs w:val="32"/>
        </w:rPr>
      </w:pPr>
    </w:p>
    <w:p>
      <w:pPr>
        <w:widowControl/>
        <w:spacing w:line="315" w:lineRule="atLeast"/>
        <w:ind w:firstLine="480"/>
        <w:jc w:val="left"/>
        <w:rPr>
          <w:rFonts w:cs="仿宋" w:asciiTheme="minorEastAsia" w:hAnsiTheme="minorEastAsia" w:eastAsiaTheme="minorEastAsia"/>
          <w:color w:val="000000"/>
          <w:kern w:val="0"/>
          <w:sz w:val="30"/>
          <w:szCs w:val="30"/>
        </w:rPr>
      </w:pPr>
      <w:r>
        <w:rPr>
          <w:rFonts w:hint="eastAsia" w:cs="仿宋" w:asciiTheme="minorEastAsia" w:hAnsiTheme="minorEastAsia" w:eastAsiaTheme="minorEastAsia"/>
          <w:color w:val="000000"/>
          <w:kern w:val="0"/>
          <w:sz w:val="30"/>
          <w:szCs w:val="30"/>
        </w:rPr>
        <w:t xml:space="preserve"> 2015年，在县委、县政府的正确领导下，在上级业务部门的指导下，我局财务工作以党的十八大和十八届五中全会精神为指导，本着“以收定支，量入为出，保证重点，兼顾一般”的原则，合理有效的使用各项有限资金，为服务构建“大工商”、甘当“保护神”、深入推进“六大工程”和“三项行动”实施，扎实开展 “党的群众路线教育实践活动” 和 “作风建设年”活动，严格按照中央“八项规定”要求，在服务非公经济发展、夯实基层党建、整治规范市场和加强队伍建设等方面，在做好经费保障供给方面，做出了积极努力，为完成全年各项工作，发挥了应有的作用，取得了显著成绩，园满完成了全年各项目标任务。</w:t>
      </w:r>
    </w:p>
    <w:p>
      <w:pPr>
        <w:widowControl/>
        <w:spacing w:line="315" w:lineRule="atLeast"/>
        <w:ind w:firstLine="596" w:firstLineChars="198"/>
        <w:rPr>
          <w:rFonts w:cs="仿宋" w:asciiTheme="minorEastAsia" w:hAnsiTheme="minorEastAsia" w:eastAsiaTheme="minorEastAsia"/>
          <w:color w:val="000000"/>
          <w:kern w:val="0"/>
          <w:sz w:val="30"/>
          <w:szCs w:val="30"/>
        </w:rPr>
      </w:pPr>
      <w:r>
        <w:rPr>
          <w:rFonts w:hint="eastAsia" w:cs="仿宋" w:asciiTheme="minorEastAsia" w:hAnsiTheme="minorEastAsia" w:eastAsiaTheme="minorEastAsia"/>
          <w:b/>
          <w:bCs/>
          <w:color w:val="000000"/>
          <w:kern w:val="0"/>
          <w:sz w:val="30"/>
          <w:szCs w:val="30"/>
        </w:rPr>
        <w:t>一、单位基本情况</w:t>
      </w:r>
    </w:p>
    <w:p>
      <w:pPr>
        <w:widowControl/>
        <w:spacing w:line="315" w:lineRule="atLeast"/>
        <w:ind w:firstLine="480"/>
        <w:jc w:val="left"/>
        <w:rPr>
          <w:rFonts w:cs="仿宋" w:asciiTheme="minorEastAsia" w:hAnsiTheme="minorEastAsia" w:eastAsiaTheme="minorEastAsia"/>
          <w:color w:val="000000"/>
          <w:kern w:val="0"/>
          <w:sz w:val="30"/>
          <w:szCs w:val="30"/>
        </w:rPr>
      </w:pPr>
      <w:r>
        <w:rPr>
          <w:rFonts w:hint="eastAsia" w:cs="仿宋" w:asciiTheme="minorEastAsia" w:hAnsiTheme="minorEastAsia" w:eastAsiaTheme="minorEastAsia"/>
          <w:color w:val="000000"/>
          <w:kern w:val="0"/>
          <w:sz w:val="30"/>
          <w:szCs w:val="30"/>
        </w:rPr>
        <w:t>我局设有内设机构7个，为办公室、登记注册管理科、市场监督管理科、商广科、消费者权益保护科、法制科；直属机构1个为经济检查分局；派出机构7个，为会师分局、瑞金路工商所、翟所工商所、甘沟驿工商所、河畔工商所、郭城工商所、刘寨工商所。截止2015年底，全县工商局系统共有干部职工55人（其中公务员47人，参照公务员法管理人员5人，事业干部3人。科级干部（含非领导职务科级干部）51人，一般干部4人。退休2人，其中公务员1人，工勤人员1人，调入4人，其中公务员1人，事业干部3人</w:t>
      </w:r>
      <w:r>
        <w:rPr>
          <w:rFonts w:hint="eastAsia" w:asciiTheme="minorEastAsia" w:hAnsiTheme="minorEastAsia" w:eastAsiaTheme="minorEastAsia"/>
          <w:sz w:val="30"/>
          <w:szCs w:val="30"/>
        </w:rPr>
        <w:t>均是财政拨款。</w:t>
      </w:r>
    </w:p>
    <w:p>
      <w:pPr>
        <w:widowControl/>
        <w:spacing w:line="315" w:lineRule="atLeast"/>
        <w:ind w:firstLine="480"/>
        <w:rPr>
          <w:rFonts w:cs="仿宋" w:asciiTheme="minorEastAsia" w:hAnsiTheme="minorEastAsia" w:eastAsiaTheme="minorEastAsia"/>
          <w:b/>
          <w:color w:val="000000"/>
          <w:kern w:val="0"/>
          <w:sz w:val="30"/>
          <w:szCs w:val="30"/>
        </w:rPr>
      </w:pPr>
      <w:r>
        <w:rPr>
          <w:rFonts w:hint="eastAsia" w:cs="宋体" w:asciiTheme="minorEastAsia" w:hAnsiTheme="minorEastAsia" w:eastAsiaTheme="minorEastAsia"/>
          <w:b/>
          <w:color w:val="000000"/>
          <w:kern w:val="0"/>
          <w:sz w:val="30"/>
          <w:szCs w:val="30"/>
        </w:rPr>
        <w:t>二、收入支出预算执行情况分析</w:t>
      </w:r>
    </w:p>
    <w:p>
      <w:pPr>
        <w:widowControl/>
        <w:spacing w:line="315" w:lineRule="atLeast"/>
        <w:ind w:firstLine="480"/>
        <w:jc w:val="left"/>
        <w:rPr>
          <w:rFonts w:cs="仿宋" w:asciiTheme="minorEastAsia" w:hAnsiTheme="minorEastAsia" w:eastAsiaTheme="minorEastAsia"/>
          <w:color w:val="000000"/>
          <w:kern w:val="0"/>
          <w:sz w:val="30"/>
          <w:szCs w:val="30"/>
        </w:rPr>
      </w:pPr>
      <w:r>
        <w:rPr>
          <w:rFonts w:hint="eastAsia" w:cs="仿宋" w:asciiTheme="minorEastAsia" w:hAnsiTheme="minorEastAsia" w:eastAsiaTheme="minorEastAsia"/>
          <w:color w:val="000000"/>
          <w:kern w:val="0"/>
          <w:sz w:val="30"/>
          <w:szCs w:val="30"/>
        </w:rPr>
        <w:t>2015年全局财政拨款收入6822101.60元，财政拨款支出10300569.60元,年末结余结转下年529532元,全部是工商所建设资金。从收入情况看，财政拨款收入6822101.60元，比上年10353929元减少3531827.40元，减少34.11％；主要是有一部分工商所建设资金以支付。本年财政拨款支出10300569.60元，比上年6345929元增加3954640.60元，增加62.32%。主要增加方面有：</w:t>
      </w:r>
      <w:r>
        <w:rPr>
          <w:rFonts w:hint="eastAsia" w:cs="仿宋" w:asciiTheme="minorEastAsia" w:hAnsiTheme="minorEastAsia" w:eastAsiaTheme="minorEastAsia"/>
          <w:b/>
          <w:bCs/>
          <w:color w:val="000000"/>
          <w:kern w:val="0"/>
          <w:sz w:val="30"/>
          <w:szCs w:val="30"/>
        </w:rPr>
        <w:t>人员经费</w:t>
      </w:r>
      <w:r>
        <w:rPr>
          <w:rFonts w:hint="eastAsia" w:cs="仿宋" w:asciiTheme="minorEastAsia" w:hAnsiTheme="minorEastAsia" w:eastAsiaTheme="minorEastAsia"/>
          <w:color w:val="000000"/>
          <w:kern w:val="0"/>
          <w:sz w:val="30"/>
          <w:szCs w:val="30"/>
        </w:rPr>
        <w:t>5408762.60元，比上年4554357元增加854405.60元，增加18.76%。由于今年两次调资及年底的职级并行调资增加工资开支，再有退休人员的遗属补助，再加上今年机关调入4人等原因增加了工资上的支出。</w:t>
      </w:r>
      <w:r>
        <w:rPr>
          <w:rFonts w:hint="eastAsia" w:cs="仿宋" w:asciiTheme="minorEastAsia" w:hAnsiTheme="minorEastAsia" w:eastAsiaTheme="minorEastAsia"/>
          <w:b/>
          <w:bCs/>
          <w:color w:val="000000"/>
          <w:kern w:val="0"/>
          <w:sz w:val="30"/>
          <w:szCs w:val="30"/>
        </w:rPr>
        <w:t>日常公用经费</w:t>
      </w:r>
      <w:r>
        <w:rPr>
          <w:rFonts w:hint="eastAsia" w:cs="仿宋" w:asciiTheme="minorEastAsia" w:hAnsiTheme="minorEastAsia" w:eastAsiaTheme="minorEastAsia"/>
          <w:color w:val="000000"/>
          <w:kern w:val="0"/>
          <w:sz w:val="30"/>
          <w:szCs w:val="30"/>
        </w:rPr>
        <w:t>1148615.89元，比上年1791572元减少642956.11元，主要原因是县局划转地方后补助经费减少及认真贯彻落实“八项规定”严格控制公用经费开支。</w:t>
      </w:r>
      <w:r>
        <w:rPr>
          <w:rFonts w:hint="eastAsia" w:cs="仿宋" w:asciiTheme="minorEastAsia" w:hAnsiTheme="minorEastAsia" w:eastAsiaTheme="minorEastAsia"/>
          <w:b/>
          <w:bCs/>
          <w:color w:val="000000"/>
          <w:kern w:val="0"/>
          <w:sz w:val="30"/>
          <w:szCs w:val="30"/>
        </w:rPr>
        <w:t>项目支出</w:t>
      </w:r>
      <w:r>
        <w:rPr>
          <w:rFonts w:hint="eastAsia" w:cs="仿宋" w:asciiTheme="minorEastAsia" w:hAnsiTheme="minorEastAsia" w:eastAsiaTheme="minorEastAsia"/>
          <w:color w:val="000000"/>
          <w:kern w:val="0"/>
          <w:sz w:val="30"/>
          <w:szCs w:val="30"/>
        </w:rPr>
        <w:t>3743191.11元，由于去年工商所业务用房建设项目没有实施，今年市发改委才准予实施支付工程3743191.11元，项目资金结余529532元。</w:t>
      </w:r>
    </w:p>
    <w:p>
      <w:pPr>
        <w:spacing w:line="56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三、</w:t>
      </w:r>
      <w:r>
        <w:rPr>
          <w:rFonts w:hint="eastAsia" w:asciiTheme="minorEastAsia" w:hAnsiTheme="minorEastAsia" w:eastAsiaTheme="minorEastAsia"/>
          <w:b/>
          <w:sz w:val="30"/>
          <w:szCs w:val="30"/>
          <w:lang w:eastAsia="zh-CN"/>
        </w:rPr>
        <w:t>本年度</w:t>
      </w:r>
      <w:r>
        <w:rPr>
          <w:rFonts w:hint="eastAsia" w:asciiTheme="minorEastAsia" w:hAnsiTheme="minorEastAsia" w:eastAsiaTheme="minorEastAsia"/>
          <w:sz w:val="30"/>
          <w:szCs w:val="30"/>
        </w:rPr>
        <w:t>三公经费情况</w:t>
      </w:r>
    </w:p>
    <w:p>
      <w:pPr>
        <w:spacing w:line="56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30"/>
          <w:szCs w:val="30"/>
          <w:lang w:val="en-US" w:eastAsia="zh-CN"/>
        </w:rPr>
        <w:t>2015年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0"/>
          <w:szCs w:val="30"/>
        </w:rPr>
        <w:t>“三公”经费支出总额152722.64元，占总本年总支出的0.1%，比上年减少15477.36元，减少10%。其中公务用车运行维护费132763.64元，比上年增加18166.36元，减少14%。减少原因主要是本单位公务车使用油卡加油及办公室派车制，减少加油环节及出车次数，降低经费。公务接待费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0"/>
          <w:szCs w:val="30"/>
          <w:lang w:val="en-US" w:eastAsia="zh-CN"/>
        </w:rPr>
        <w:t>19959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0"/>
          <w:szCs w:val="30"/>
        </w:rPr>
        <w:t>元，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0"/>
          <w:szCs w:val="30"/>
          <w:lang w:eastAsia="zh-CN"/>
        </w:rPr>
        <w:t>由于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0"/>
          <w:szCs w:val="30"/>
          <w:lang w:val="en-US" w:eastAsia="zh-CN"/>
        </w:rPr>
        <w:t>2015年筹备OTO会洽会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0"/>
          <w:szCs w:val="30"/>
        </w:rPr>
        <w:t>比上年17270元增加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0"/>
          <w:szCs w:val="30"/>
          <w:lang w:val="en-US" w:eastAsia="zh-CN"/>
        </w:rPr>
        <w:t>2689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0"/>
          <w:szCs w:val="30"/>
        </w:rPr>
        <w:t>元，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0"/>
          <w:szCs w:val="30"/>
          <w:lang w:eastAsia="zh-CN"/>
        </w:rPr>
        <w:t>没有超出年初预算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30"/>
          <w:szCs w:val="30"/>
        </w:rPr>
        <w:t>。</w:t>
      </w:r>
    </w:p>
    <w:p>
      <w:pPr>
        <w:spacing w:line="56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四、年末结转和结余情况</w:t>
      </w:r>
    </w:p>
    <w:p>
      <w:pPr>
        <w:spacing w:line="56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当年财政拨款结转结余总计529532元，主要为工商所业务用房项目建设支出结转529532元，预计2016年支付完成。</w:t>
      </w:r>
    </w:p>
    <w:p>
      <w:pPr>
        <w:spacing w:line="560" w:lineRule="exact"/>
        <w:ind w:firstLine="602" w:firstLineChars="200"/>
        <w:rPr>
          <w:rFonts w:asciiTheme="minorEastAsia" w:hAnsiTheme="minorEastAsia" w:eastAsiaTheme="minorEastAsia"/>
          <w:b/>
          <w:sz w:val="30"/>
          <w:szCs w:val="30"/>
        </w:rPr>
      </w:pPr>
      <w:bookmarkStart w:id="0" w:name="YS060103"/>
      <w:r>
        <w:rPr>
          <w:rFonts w:hint="eastAsia" w:asciiTheme="minorEastAsia" w:hAnsiTheme="minorEastAsia" w:eastAsiaTheme="minorEastAsia"/>
          <w:b/>
          <w:sz w:val="30"/>
          <w:szCs w:val="30"/>
        </w:rPr>
        <w:t>五、资产负债情况分析</w:t>
      </w:r>
    </w:p>
    <w:bookmarkEnd w:id="0"/>
    <w:p>
      <w:pPr>
        <w:spacing w:line="56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（一）资产负债结构情况</w:t>
      </w:r>
    </w:p>
    <w:p>
      <w:pPr>
        <w:spacing w:line="56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201</w:t>
      </w:r>
      <w:r>
        <w:rPr>
          <w:rFonts w:hint="eastAsia" w:asciiTheme="minorEastAsia" w:hAnsiTheme="minorEastAsia" w:eastAsiaTheme="minorEastAsia"/>
          <w:sz w:val="30"/>
          <w:szCs w:val="30"/>
        </w:rPr>
        <w:t>5年年末实有资产5937963.63元，比上年减少3327838元，减少56%。其中固定资产5408431.63元，流动资产529532元，为项目资金结余。固定资产增减变动情况:</w:t>
      </w:r>
      <w:r>
        <w:rPr>
          <w:rFonts w:asciiTheme="minorEastAsia" w:hAnsiTheme="minorEastAsia" w:eastAsiaTheme="minorEastAsia"/>
          <w:sz w:val="30"/>
          <w:szCs w:val="30"/>
        </w:rPr>
        <w:t>201</w:t>
      </w:r>
      <w:r>
        <w:rPr>
          <w:rFonts w:hint="eastAsia" w:asciiTheme="minorEastAsia" w:hAnsiTheme="minorEastAsia" w:eastAsiaTheme="minorEastAsia"/>
          <w:sz w:val="30"/>
          <w:szCs w:val="30"/>
        </w:rPr>
        <w:t>4年年末实有固定资产5257801.63元，</w:t>
      </w:r>
      <w:r>
        <w:rPr>
          <w:rFonts w:asciiTheme="minorEastAsia" w:hAnsiTheme="minorEastAsia" w:eastAsiaTheme="minorEastAsia"/>
          <w:sz w:val="30"/>
          <w:szCs w:val="30"/>
        </w:rPr>
        <w:t>201</w:t>
      </w:r>
      <w:r>
        <w:rPr>
          <w:rFonts w:hint="eastAsia" w:asciiTheme="minorEastAsia" w:hAnsiTheme="minorEastAsia" w:eastAsiaTheme="minorEastAsia"/>
          <w:sz w:val="30"/>
          <w:szCs w:val="30"/>
        </w:rPr>
        <w:t>5年增加150630元(新购办公设备150630元)。</w:t>
      </w:r>
    </w:p>
    <w:p>
      <w:pPr>
        <w:spacing w:line="56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（二）资产负债对比分析</w:t>
      </w:r>
    </w:p>
    <w:p>
      <w:pPr>
        <w:spacing w:line="560" w:lineRule="exact"/>
        <w:ind w:firstLine="600" w:firstLineChars="200"/>
        <w:rPr>
          <w:rFonts w:asciiTheme="minorEastAsia" w:hAnsiTheme="minorEastAsia" w:eastAsiaTheme="minorEastAsia"/>
          <w:sz w:val="30"/>
          <w:szCs w:val="30"/>
        </w:rPr>
      </w:pPr>
      <w:r>
        <w:rPr>
          <w:rFonts w:asciiTheme="minorEastAsia" w:hAnsiTheme="minorEastAsia" w:eastAsiaTheme="minorEastAsia"/>
          <w:sz w:val="30"/>
          <w:szCs w:val="30"/>
        </w:rPr>
        <w:t>201</w:t>
      </w:r>
      <w:r>
        <w:rPr>
          <w:rFonts w:hint="eastAsia" w:asciiTheme="minorEastAsia" w:hAnsiTheme="minorEastAsia" w:eastAsiaTheme="minorEastAsia"/>
          <w:sz w:val="30"/>
          <w:szCs w:val="30"/>
        </w:rPr>
        <w:t>5年资产负债</w:t>
      </w:r>
      <w:r>
        <w:rPr>
          <w:rFonts w:asciiTheme="minorEastAsia" w:hAnsiTheme="minorEastAsia" w:eastAsiaTheme="minorEastAsia"/>
          <w:sz w:val="30"/>
          <w:szCs w:val="30"/>
        </w:rPr>
        <w:t>0</w:t>
      </w:r>
      <w:r>
        <w:rPr>
          <w:rFonts w:hint="eastAsia" w:asciiTheme="minorEastAsia" w:hAnsiTheme="minorEastAsia" w:eastAsiaTheme="minorEastAsia"/>
          <w:sz w:val="30"/>
          <w:szCs w:val="30"/>
        </w:rPr>
        <w:t>元。</w:t>
      </w:r>
    </w:p>
    <w:p>
      <w:pPr>
        <w:ind w:firstLine="3200" w:firstLineChars="1000"/>
        <w:rPr>
          <w:sz w:val="32"/>
          <w:szCs w:val="32"/>
        </w:rPr>
      </w:pPr>
    </w:p>
    <w:p>
      <w:pPr>
        <w:ind w:firstLine="3200" w:firstLineChars="1000"/>
        <w:rPr>
          <w:rFonts w:hint="eastAsia"/>
          <w:sz w:val="32"/>
          <w:szCs w:val="32"/>
        </w:rPr>
      </w:pPr>
    </w:p>
    <w:p>
      <w:pPr>
        <w:ind w:firstLine="3200" w:firstLineChars="1000"/>
        <w:rPr>
          <w:rFonts w:hint="eastAsia"/>
          <w:sz w:val="32"/>
          <w:szCs w:val="32"/>
        </w:rPr>
      </w:pPr>
    </w:p>
    <w:p>
      <w:pPr>
        <w:ind w:firstLine="3200" w:firstLineChars="1000"/>
        <w:rPr>
          <w:rFonts w:hint="eastAsia"/>
          <w:sz w:val="32"/>
          <w:szCs w:val="32"/>
        </w:rPr>
      </w:pPr>
    </w:p>
    <w:p>
      <w:pPr>
        <w:ind w:firstLine="3200" w:firstLineChars="1000"/>
        <w:rPr>
          <w:rFonts w:hint="eastAsia"/>
          <w:sz w:val="32"/>
          <w:szCs w:val="32"/>
        </w:rPr>
      </w:pPr>
    </w:p>
    <w:p>
      <w:pPr>
        <w:ind w:firstLine="3200" w:firstLineChars="1000"/>
        <w:rPr>
          <w:rFonts w:hint="eastAsia"/>
          <w:sz w:val="32"/>
          <w:szCs w:val="32"/>
        </w:rPr>
      </w:pPr>
    </w:p>
    <w:p>
      <w:pPr>
        <w:ind w:firstLine="3200" w:firstLineChars="1000"/>
        <w:rPr>
          <w:rFonts w:hint="eastAsia"/>
          <w:sz w:val="32"/>
          <w:szCs w:val="32"/>
        </w:rPr>
      </w:pPr>
    </w:p>
    <w:p>
      <w:pPr>
        <w:ind w:firstLine="3200" w:firstLineChars="1000"/>
        <w:rPr>
          <w:rFonts w:hint="eastAsia"/>
          <w:sz w:val="32"/>
          <w:szCs w:val="32"/>
        </w:rPr>
      </w:pPr>
    </w:p>
    <w:p>
      <w:pPr>
        <w:ind w:firstLine="3200" w:firstLineChars="1000"/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sz w:val="32"/>
          <w:szCs w:val="32"/>
        </w:rPr>
        <w:t>0</w:t>
      </w:r>
      <w:r>
        <w:rPr>
          <w:rFonts w:hint="eastAsia"/>
          <w:sz w:val="32"/>
          <w:szCs w:val="32"/>
        </w:rPr>
        <w:t>一</w:t>
      </w:r>
      <w:r>
        <w:rPr>
          <w:rFonts w:hint="eastAsia"/>
          <w:sz w:val="32"/>
          <w:szCs w:val="32"/>
          <w:lang w:eastAsia="zh-CN"/>
        </w:rPr>
        <w:t>六</w:t>
      </w:r>
      <w:bookmarkStart w:id="1" w:name="_GoBack"/>
      <w:bookmarkEnd w:id="1"/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eastAsia="zh-CN"/>
        </w:rPr>
        <w:t>八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eastAsia="zh-CN"/>
        </w:rPr>
        <w:t>十</w:t>
      </w:r>
      <w:r>
        <w:rPr>
          <w:rFonts w:hint="eastAsia"/>
          <w:sz w:val="32"/>
          <w:szCs w:val="32"/>
        </w:rPr>
        <w:t>日</w:t>
      </w:r>
    </w:p>
    <w:p/>
    <w:sectPr>
      <w:pgSz w:w="11906" w:h="16838"/>
      <w:pgMar w:top="1440" w:right="1531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10E37"/>
    <w:rsid w:val="37C10E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2016-08-10T08:03:00Z</dcterms:created>
  <dc:creator>lenovo</dc:creator>
  <cp:lastModifiedBy>lenovo</cp:lastModifiedBy>
  <dcterms:modified xsi:type="dcterms:W3CDTF">2016-08-10T08:19:20Z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