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widowControl/>
        <w:spacing w:line="315" w:lineRule="atLeast"/>
        <w:jc w:val="center"/>
        <w:rPr>
          <w:rFonts w:cs="宋体"/>
          <w:color w:val="000000"/>
          <w:kern w:val="0"/>
          <w:sz w:val="36"/>
          <w:szCs w:val="36"/>
        </w:rPr>
      </w:pPr>
      <w:bookmarkStart w:id="0" w:name="E010000"/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部门决算填报说明</w:t>
      </w:r>
      <w:bookmarkEnd w:id="0"/>
    </w:p>
    <w:p>
      <w:pPr>
        <w:widowControl/>
        <w:spacing w:line="315" w:lineRule="atLeast"/>
        <w:rPr>
          <w:rFonts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 </w:t>
      </w:r>
    </w:p>
    <w:p>
      <w:pPr>
        <w:widowControl/>
        <w:spacing w:line="315" w:lineRule="atLeast"/>
        <w:ind w:firstLine="48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一、决算汇编基本情况</w:t>
      </w:r>
    </w:p>
    <w:p>
      <w:pPr>
        <w:widowControl/>
        <w:spacing w:line="315" w:lineRule="atLeast"/>
        <w:ind w:firstLine="48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2015年度，纳入本部门决算汇编范围的独立核算单位共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个，比上年增减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个。</w:t>
      </w:r>
    </w:p>
    <w:p>
      <w:pPr>
        <w:widowControl/>
        <w:spacing w:line="315" w:lineRule="atLeast"/>
        <w:ind w:firstLine="48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二、基础数据核对情况</w:t>
      </w:r>
    </w:p>
    <w:p>
      <w:pPr>
        <w:widowControl/>
        <w:spacing w:line="315" w:lineRule="atLeast"/>
        <w:ind w:firstLine="48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（一）与财政部门对账情况</w:t>
      </w:r>
    </w:p>
    <w:p>
      <w:pPr>
        <w:widowControl/>
        <w:spacing w:line="315" w:lineRule="atLeast"/>
        <w:ind w:firstLine="48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财政拨款核对情况</w:t>
      </w:r>
    </w:p>
    <w:p>
      <w:pPr>
        <w:widowControl/>
        <w:spacing w:line="315" w:lineRule="atLeast"/>
        <w:ind w:firstLine="48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（1）单位本年度实际收到的一般公共预算财政拨款收入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19778366.18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元，财政部门拨款对账单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19778366.18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元，差额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元。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账单无差额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。</w:t>
      </w:r>
    </w:p>
    <w:p>
      <w:pPr>
        <w:widowControl/>
        <w:spacing w:line="315" w:lineRule="atLeast"/>
        <w:ind w:firstLine="48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（2）单位本年度政府性基金预算财政拨款收入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20000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元，财政部门拨款对账单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20000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元，差额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元。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账单无差额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。</w:t>
      </w:r>
    </w:p>
    <w:p>
      <w:pPr>
        <w:widowControl/>
        <w:spacing w:line="315" w:lineRule="atLeast"/>
        <w:ind w:firstLine="48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单位本年度缴入财政专户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70800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元，财政综合科对账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70800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元，差额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元。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账单无差额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。</w:t>
      </w:r>
    </w:p>
    <w:p>
      <w:pPr>
        <w:widowControl/>
        <w:spacing w:line="315" w:lineRule="atLeast"/>
        <w:ind w:firstLine="48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（二）上年结转和结余核对及指标变动情况</w:t>
      </w:r>
    </w:p>
    <w:p>
      <w:pPr>
        <w:widowControl/>
        <w:spacing w:line="315" w:lineRule="atLeast"/>
        <w:ind w:firstLine="480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有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主要指标上下年变动幅度超过10%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详见（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附表3）。</w:t>
      </w:r>
    </w:p>
    <w:p>
      <w:pPr>
        <w:widowControl/>
        <w:spacing w:line="315" w:lineRule="atLeast"/>
        <w:ind w:firstLine="480"/>
        <w:jc w:val="center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主要指标上下年变动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情况表（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附表3）</w:t>
      </w:r>
    </w:p>
    <w:tbl>
      <w:tblPr>
        <w:tblStyle w:val="5"/>
        <w:tblW w:w="93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04"/>
        <w:gridCol w:w="517"/>
        <w:gridCol w:w="1313"/>
        <w:gridCol w:w="1072"/>
        <w:gridCol w:w="992"/>
        <w:gridCol w:w="949"/>
        <w:gridCol w:w="20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FFFFFF" w:fill="C0C0C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编制单位：会宁县刘家寨子镇人民政府</w:t>
            </w:r>
          </w:p>
        </w:tc>
        <w:tc>
          <w:tcPr>
            <w:tcW w:w="517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2015年度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    标</w:t>
            </w:r>
          </w:p>
        </w:tc>
        <w:tc>
          <w:tcPr>
            <w:tcW w:w="51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行次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上年度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比上年增减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增减％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栏    次 </w:t>
            </w:r>
          </w:p>
        </w:tc>
        <w:tc>
          <w:tcPr>
            <w:tcW w:w="51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一、年度收支情况（单位：元）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1.本年收入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19,778,366.18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12,161,571.68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7,616,794.50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62.63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新进人员及项目增加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其中：一般公共预算财政拨款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19,758,366.18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12,074,371.68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7,683,994.50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63.64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财政拨款增加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政府性基金预算财政拨款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20,000.00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87,200.00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-67,200.00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-77.06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本年度残疾人没有列入政府基金预算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*事业收入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经营收入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*其他收入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2.本年支出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18,869,451.96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11,936,681.10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6,932,770.86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58.08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其中：基本支出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10,625,951.96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7,712,181.10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2,913,770.86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37.78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人员增加，经费支出增加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（1）人员经费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9,233,330.38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6,704,454.48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2,528,875.90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37.72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人员增加，经费支出增加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（2）日常公用经费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1,392,621.58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1,007,726.62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384,894.96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38.19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项目支出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8,243,500.00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4,224,500.00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4,019,000.00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95.14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（1）基本建设类项目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（2）行政事业类项目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8,243,500.00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4,224,500.00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4,019,000.00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95.14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经营支出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3.年末结转和结余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1,133,804.80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224,890.58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908,914.22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404.16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项目未竣工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其中：一般公共预算财政拨款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1,123,804.80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224,890.58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898,914.22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399.71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人员增加，经费支出增加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政府性基金预算财政拨款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二、年末资产负债情况（单位：元）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1.资产总计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4,633,862.99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2,921,978.65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1,711,884.34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58.59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新增办公设备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其中：固定资产价值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2,372,487.84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2,294,220.00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78,267.84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3.41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新增办公设备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其中：房屋价值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2,191,880.00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2,191,880.00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房屋面积（平方米）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6,292.00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6,292.00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*房屋单价（元）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348.36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348.36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汽车价值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100,000.00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100,000.00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汽车数量（辆）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*汽车单价（元）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100,000.00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100,000.00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2.负债总计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1,118,260.00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402,868.07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715,391.93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177.57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项目未竣工，资金未拨出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其中：*事业单位借款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3.净资产总计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3,515,602.99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2,519,110.58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996,492.41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39.56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项目未竣工，资金未拨出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其中：*结转和结余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1,143,115.15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224,890.58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918,224.57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408.30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项目未竣工，资金未拨出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*非流动资产基金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2,372,487.84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2,294,220.00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78,267.84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3.41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项目未竣工，资金未拨出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事业单位事业基金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事业单位专用基金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三、年末机构人员情况（单位：个、人）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1.独立编制机构数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其中：行政机构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事业机构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2.独立核算机构数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其中：行政机构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事业机构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3.年末编制人数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行政人员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其中：行政工勤人员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事业人员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其中：参照公务员法管理人员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4.年末实有人数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新分配人员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在职人员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新分配人员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其中：行政人员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16.67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调入村官考上公务员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其中：行政工勤人员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事业人员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2.08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新分配人员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其中：参照公务员法管理人员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离休人员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退休人员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5.年末一般公共预算财政拨款（补助）开支人数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新分配、调入人员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在职人员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新分配、调入人员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其中：行政工勤人员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504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离休人员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313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bottom w:val="single" w:color="000000" w:sz="12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</w:tbl>
    <w:p>
      <w:pPr>
        <w:widowControl/>
        <w:spacing w:line="315" w:lineRule="atLeast"/>
        <w:ind w:firstLine="48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三、决算数据其他需要说明的情况</w:t>
      </w:r>
    </w:p>
    <w:p>
      <w:pPr>
        <w:widowControl/>
        <w:spacing w:line="315" w:lineRule="atLeast"/>
        <w:ind w:firstLine="48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．“支出决算明细表”中，“商品和服务支出－其他商品和服务支出”，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支付特需费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180元、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缴付残疾人就业保障金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9584元、支付计生手术费4000元和计划生育避孕节育手术费18605元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。</w:t>
      </w:r>
    </w:p>
    <w:p>
      <w:pPr>
        <w:widowControl/>
        <w:spacing w:line="315" w:lineRule="atLeast"/>
        <w:ind w:firstLine="480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、“支出决算明细表”中，“对个人和家庭的补助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其他对个人和家庭补助”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支付单位职工取暖费共计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156750元。</w:t>
      </w:r>
    </w:p>
    <w:p>
      <w:pPr>
        <w:widowControl/>
        <w:spacing w:line="315" w:lineRule="atLeast"/>
        <w:ind w:firstLine="480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．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“三公”经费支出情况：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今年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“三公”经费支出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共计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39420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.00元，与上年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74355.09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元相比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减少了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46.98%。由于严格遵照执行省市县有关乡镇政府机关关于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“三公”经费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的规定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,详见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（附表5）。</w:t>
      </w:r>
    </w:p>
    <w:p>
      <w:pPr>
        <w:widowControl/>
        <w:spacing w:line="315" w:lineRule="atLeast"/>
        <w:ind w:firstLine="480"/>
        <w:jc w:val="center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三公”经费支出情况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表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（附表5）</w:t>
      </w:r>
    </w:p>
    <w:tbl>
      <w:tblPr>
        <w:tblStyle w:val="5"/>
        <w:tblW w:w="856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90"/>
        <w:gridCol w:w="570"/>
        <w:gridCol w:w="1230"/>
        <w:gridCol w:w="2625"/>
        <w:gridCol w:w="570"/>
        <w:gridCol w:w="13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编制单位：会宁县刘家寨子镇人民政府</w:t>
            </w:r>
          </w:p>
        </w:tc>
        <w:tc>
          <w:tcPr>
            <w:tcW w:w="570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2015年度</w:t>
            </w:r>
          </w:p>
        </w:tc>
        <w:tc>
          <w:tcPr>
            <w:tcW w:w="570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C0C0C0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  目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行次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统计数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  目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行次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统计数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2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栏  次</w:t>
            </w:r>
          </w:p>
        </w:tc>
        <w:tc>
          <w:tcPr>
            <w:tcW w:w="57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栏  次</w:t>
            </w:r>
          </w:p>
        </w:tc>
        <w:tc>
          <w:tcPr>
            <w:tcW w:w="57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一、“三公”经费支出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二、机关运行经费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1,392,621.58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（一）支出合计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39,420.00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（一）行政单位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1,392,621.58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1.因公出国（境）费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（二）参照公务员法管理事业单位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2.公务用车购置及运行维护费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9,310.00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（1）公务用车购置费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三、国有资产占用情况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（2）公务用车运行维护费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9,310.00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（一）车辆数合计（辆）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3.公务接待费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30,110.00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1.部级领导干部用车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（1）国内接待费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30,110.00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2.一般公务用车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（2）国（境）外接待费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3.一般执法执勤用车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（二）相关统计数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4.特种专业技术用车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1.因公出国（境）团组数（个）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5.其他用车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2.因公出国（境）人次数（人）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（二）单位价值200万元以上大型设备（台，套）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3.公务用车购置数（辆）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4.公务用车保有量（辆）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5.国内公务接待批次（个）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6.国内公务接待人次（人）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30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1,685</w:t>
            </w:r>
          </w:p>
        </w:tc>
        <w:tc>
          <w:tcPr>
            <w:tcW w:w="2625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570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380" w:type="dxa"/>
            <w:tcBorders>
              <w:top w:val="single" w:color="000000" w:sz="4" w:space="0"/>
              <w:bottom w:val="single" w:color="000000" w:sz="12" w:space="0"/>
              <w:right w:val="single" w:color="000000" w:sz="12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</w:tbl>
    <w:p>
      <w:pPr>
        <w:widowControl/>
        <w:numPr>
          <w:ilvl w:val="0"/>
          <w:numId w:val="1"/>
        </w:numPr>
        <w:spacing w:line="315" w:lineRule="atLeast"/>
        <w:ind w:firstLine="560" w:firstLineChars="200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政府采购支出情况，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共计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251120元。具体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包括采购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安装太阳能路灯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70000元</w:t>
      </w:r>
      <w:bookmarkStart w:id="1" w:name="_GoBack"/>
      <w:bookmarkEnd w:id="1"/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、办公设备132120元，采购政府取暖用块煤49000元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等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，见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（附表6）。</w:t>
      </w:r>
    </w:p>
    <w:p>
      <w:pPr>
        <w:widowControl/>
        <w:numPr>
          <w:ilvl w:val="0"/>
          <w:numId w:val="0"/>
        </w:numPr>
        <w:spacing w:line="315" w:lineRule="atLeast"/>
        <w:jc w:val="center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政府采购支出情况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表（附表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）</w:t>
      </w:r>
    </w:p>
    <w:tbl>
      <w:tblPr>
        <w:tblStyle w:val="5"/>
        <w:tblW w:w="80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0"/>
        <w:gridCol w:w="870"/>
        <w:gridCol w:w="3286"/>
        <w:gridCol w:w="30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7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6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4" w:type="dxa"/>
            <w:tcBorders>
              <w:top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FFFFFF" w:fill="C0C0C0"/>
            <w:textDirection w:val="lrTb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行次</w:t>
            </w:r>
          </w:p>
        </w:tc>
        <w:tc>
          <w:tcPr>
            <w:tcW w:w="630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30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财政性资金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740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栏次</w:t>
            </w:r>
          </w:p>
        </w:tc>
        <w:tc>
          <w:tcPr>
            <w:tcW w:w="328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0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      计</w:t>
            </w:r>
          </w:p>
        </w:tc>
        <w:tc>
          <w:tcPr>
            <w:tcW w:w="8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251,120.00</w:t>
            </w:r>
          </w:p>
        </w:tc>
        <w:tc>
          <w:tcPr>
            <w:tcW w:w="30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251,120.00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货物</w:t>
            </w:r>
          </w:p>
        </w:tc>
        <w:tc>
          <w:tcPr>
            <w:tcW w:w="870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C0C0C0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286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251,120.00</w:t>
            </w:r>
          </w:p>
        </w:tc>
        <w:tc>
          <w:tcPr>
            <w:tcW w:w="3014" w:type="dxa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251,120.00</w:t>
            </w:r>
          </w:p>
        </w:tc>
      </w:tr>
    </w:tbl>
    <w:p>
      <w:p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“支出决算明细表”中</w:t>
      </w:r>
      <w:r>
        <w:rPr>
          <w:rFonts w:hint="eastAsia" w:ascii="仿宋" w:hAnsi="仿宋" w:eastAsia="仿宋"/>
          <w:sz w:val="28"/>
          <w:szCs w:val="28"/>
        </w:rPr>
        <w:t>救济费</w:t>
      </w:r>
      <w:r>
        <w:rPr>
          <w:rFonts w:hint="eastAsia" w:ascii="仿宋" w:hAnsi="仿宋" w:eastAsia="仿宋"/>
          <w:sz w:val="28"/>
          <w:szCs w:val="28"/>
          <w:lang w:eastAsia="zh-CN"/>
        </w:rPr>
        <w:t>主要包括孤儿生活补贴，</w:t>
      </w:r>
      <w:r>
        <w:rPr>
          <w:rFonts w:hint="eastAsia" w:ascii="仿宋" w:hAnsi="仿宋" w:eastAsia="仿宋"/>
          <w:sz w:val="28"/>
          <w:szCs w:val="28"/>
        </w:rPr>
        <w:t>生产补贴</w:t>
      </w:r>
      <w:r>
        <w:rPr>
          <w:rFonts w:hint="eastAsia" w:ascii="仿宋" w:hAnsi="仿宋" w:eastAsia="仿宋"/>
          <w:sz w:val="28"/>
          <w:szCs w:val="28"/>
          <w:lang w:eastAsia="zh-CN"/>
        </w:rPr>
        <w:t>共计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948176</w:t>
      </w:r>
      <w:r>
        <w:rPr>
          <w:rFonts w:hint="eastAsia" w:ascii="仿宋" w:hAnsi="仿宋" w:eastAsia="仿宋"/>
          <w:sz w:val="28"/>
          <w:szCs w:val="28"/>
          <w:lang w:eastAsia="zh-CN"/>
        </w:rPr>
        <w:t>元，其中包括农机具购置补贴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449820</w:t>
      </w:r>
      <w:r>
        <w:rPr>
          <w:rFonts w:hint="eastAsia" w:ascii="仿宋" w:hAnsi="仿宋" w:eastAsia="仿宋"/>
          <w:sz w:val="28"/>
          <w:szCs w:val="28"/>
          <w:lang w:eastAsia="zh-CN"/>
        </w:rPr>
        <w:t>元、人工种草和草原禁牧补贴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498356元。</w:t>
      </w:r>
    </w:p>
    <w:p>
      <w:pPr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lang w:eastAsia="zh-CN"/>
        </w:rPr>
        <w:t>刘家寨子镇人民政府</w:t>
      </w:r>
      <w:r>
        <w:rPr>
          <w:rFonts w:hint="eastAsia" w:ascii="仿宋" w:hAnsi="仿宋" w:eastAsia="仿宋"/>
          <w:sz w:val="30"/>
        </w:rPr>
        <w:t>编制核定</w:t>
      </w:r>
      <w:r>
        <w:rPr>
          <w:rFonts w:hint="eastAsia" w:ascii="仿宋" w:hAnsi="仿宋" w:eastAsia="仿宋"/>
          <w:sz w:val="30"/>
          <w:lang w:eastAsia="zh-CN"/>
        </w:rPr>
        <w:t>共计</w:t>
      </w:r>
      <w:r>
        <w:rPr>
          <w:rFonts w:hint="eastAsia" w:ascii="仿宋" w:hAnsi="仿宋" w:eastAsia="仿宋"/>
          <w:sz w:val="30"/>
          <w:lang w:val="en-US" w:eastAsia="zh-CN"/>
        </w:rPr>
        <w:t>63人，年底实有人数为70人，其中大学生村官5人，进村进社人员2人，属无编制人员。</w:t>
      </w:r>
    </w:p>
    <w:p>
      <w:pPr>
        <w:ind w:firstLine="560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">
    <w:altName w:val="仿宋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258568">
    <w:nsid w:val="568FB508"/>
    <w:multiLevelType w:val="singleLevel"/>
    <w:tmpl w:val="568FB508"/>
    <w:lvl w:ilvl="0" w:tentative="1">
      <w:start w:val="4"/>
      <w:numFmt w:val="decimal"/>
      <w:suff w:val="nothing"/>
      <w:lvlText w:val="%1．"/>
      <w:lvlJc w:val="left"/>
    </w:lvl>
  </w:abstractNum>
  <w:num w:numId="1">
    <w:abstractNumId w:val="14522585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2B1D"/>
    <w:rsid w:val="000D7660"/>
    <w:rsid w:val="001C29F4"/>
    <w:rsid w:val="003633F9"/>
    <w:rsid w:val="004D1711"/>
    <w:rsid w:val="004F6AE6"/>
    <w:rsid w:val="00540D96"/>
    <w:rsid w:val="00544501"/>
    <w:rsid w:val="005D46D1"/>
    <w:rsid w:val="00712B1D"/>
    <w:rsid w:val="008D11C3"/>
    <w:rsid w:val="008F02F6"/>
    <w:rsid w:val="00A858E8"/>
    <w:rsid w:val="00AB51E7"/>
    <w:rsid w:val="00BB6EF3"/>
    <w:rsid w:val="00C26EDA"/>
    <w:rsid w:val="00CA0AA3"/>
    <w:rsid w:val="00E00C08"/>
    <w:rsid w:val="00EF4C06"/>
    <w:rsid w:val="01846F0A"/>
    <w:rsid w:val="0382005C"/>
    <w:rsid w:val="09DE12BD"/>
    <w:rsid w:val="10495D80"/>
    <w:rsid w:val="2AE65422"/>
    <w:rsid w:val="2AFB6893"/>
    <w:rsid w:val="2BD40774"/>
    <w:rsid w:val="2F9B5627"/>
    <w:rsid w:val="33CC3D88"/>
    <w:rsid w:val="5060696B"/>
    <w:rsid w:val="58A545FC"/>
    <w:rsid w:val="5BFD0E7B"/>
    <w:rsid w:val="5E5A3ECE"/>
    <w:rsid w:val="61967E27"/>
    <w:rsid w:val="741C35AB"/>
    <w:rsid w:val="76F33869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semiHidden/>
    <w:uiPriority w:val="99"/>
    <w:rPr>
      <w:sz w:val="18"/>
      <w:szCs w:val="18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186</Words>
  <Characters>1065</Characters>
  <Lines>8</Lines>
  <Paragraphs>2</Paragraphs>
  <ScaleCrop>false</ScaleCrop>
  <LinksUpToDate>false</LinksUpToDate>
  <CharactersWithSpaces>1249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2015-12-10T02:07:00Z</dcterms:created>
  <dc:creator>tlx</dc:creator>
  <cp:lastModifiedBy>Administrator</cp:lastModifiedBy>
  <dcterms:modified xsi:type="dcterms:W3CDTF">2016-01-16T07:21:41Z</dcterms:modified>
  <dc:title>部门决算填报说明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