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643" w:firstLineChars="200"/>
        <w:outlineLvl w:val="1"/>
      </w:pPr>
      <w:r>
        <w:rPr>
          <w:rFonts w:hint="eastAsia" w:ascii="楷体_GB2312" w:hAnsi="楷体_GB2312" w:eastAsia="楷体_GB2312" w:cs="楷体_GB2312"/>
          <w:b/>
          <w:bCs/>
          <w:sz w:val="32"/>
          <w:szCs w:val="32"/>
        </w:rPr>
        <w:t>附件1 部门整体支出绩效自评表</w:t>
      </w:r>
    </w:p>
    <w:tbl>
      <w:tblPr>
        <w:tblStyle w:val="15"/>
        <w:tblW w:w="5000" w:type="pct"/>
        <w:tblInd w:w="0" w:type="dxa"/>
        <w:tblLayout w:type="autofit"/>
        <w:tblCellMar>
          <w:top w:w="0" w:type="dxa"/>
          <w:left w:w="108" w:type="dxa"/>
          <w:bottom w:w="0" w:type="dxa"/>
          <w:right w:w="108" w:type="dxa"/>
        </w:tblCellMar>
      </w:tblPr>
      <w:tblGrid>
        <w:gridCol w:w="1183"/>
        <w:gridCol w:w="1329"/>
        <w:gridCol w:w="2472"/>
        <w:gridCol w:w="2499"/>
        <w:gridCol w:w="1287"/>
        <w:gridCol w:w="1647"/>
        <w:gridCol w:w="825"/>
        <w:gridCol w:w="772"/>
        <w:gridCol w:w="2880"/>
      </w:tblGrid>
      <w:tr>
        <w:tblPrEx>
          <w:tblCellMar>
            <w:top w:w="0" w:type="dxa"/>
            <w:left w:w="108" w:type="dxa"/>
            <w:bottom w:w="0" w:type="dxa"/>
            <w:right w:w="108" w:type="dxa"/>
          </w:tblCellMar>
        </w:tblPrEx>
        <w:trPr>
          <w:trHeight w:val="454" w:hRule="atLeast"/>
        </w:trPr>
        <w:tc>
          <w:tcPr>
            <w:tcW w:w="5000" w:type="pct"/>
            <w:gridSpan w:val="9"/>
            <w:tcBorders>
              <w:top w:val="nil"/>
              <w:left w:val="nil"/>
              <w:bottom w:val="single" w:color="auto" w:sz="4" w:space="0"/>
              <w:right w:val="nil"/>
            </w:tcBorders>
            <w:shd w:val="clear" w:color="auto" w:fill="auto"/>
            <w:vAlign w:val="center"/>
          </w:tcPr>
          <w:p>
            <w:pPr>
              <w:widowControl/>
              <w:jc w:val="center"/>
              <w:textAlignment w:val="center"/>
              <w:rPr>
                <w:rFonts w:ascii="宋体" w:hAnsi="宋体" w:eastAsia="宋体" w:cs="宋体"/>
                <w:b/>
                <w:bCs/>
                <w:color w:val="000000"/>
                <w:sz w:val="40"/>
                <w:szCs w:val="40"/>
              </w:rPr>
            </w:pPr>
            <w:r>
              <w:rPr>
                <w:rFonts w:hint="eastAsia" w:ascii="宋体" w:hAnsi="宋体" w:eastAsia="宋体" w:cs="宋体"/>
                <w:b/>
                <w:bCs/>
                <w:color w:val="000000"/>
                <w:kern w:val="0"/>
                <w:sz w:val="28"/>
                <w:szCs w:val="28"/>
                <w:lang w:bidi="ar"/>
              </w:rPr>
              <w:t>2021年会宁县</w:t>
            </w:r>
            <w:r>
              <w:rPr>
                <w:rFonts w:hint="eastAsia" w:ascii="宋体" w:hAnsi="宋体" w:eastAsia="宋体" w:cs="宋体"/>
                <w:b/>
                <w:bCs/>
                <w:color w:val="000000"/>
                <w:kern w:val="0"/>
                <w:sz w:val="28"/>
                <w:szCs w:val="28"/>
                <w:lang w:eastAsia="zh-CN" w:bidi="ar"/>
              </w:rPr>
              <w:t>农业农村局</w:t>
            </w:r>
            <w:r>
              <w:rPr>
                <w:rFonts w:hint="eastAsia" w:ascii="宋体" w:hAnsi="宋体" w:eastAsia="宋体" w:cs="宋体"/>
                <w:b/>
                <w:bCs/>
                <w:color w:val="000000"/>
                <w:kern w:val="0"/>
                <w:sz w:val="28"/>
                <w:szCs w:val="28"/>
                <w:lang w:bidi="ar"/>
              </w:rPr>
              <w:t>部门整体支出绩效自评表</w:t>
            </w:r>
          </w:p>
        </w:tc>
      </w:tr>
      <w:tr>
        <w:tblPrEx>
          <w:tblCellMar>
            <w:top w:w="0" w:type="dxa"/>
            <w:left w:w="108" w:type="dxa"/>
            <w:bottom w:w="0" w:type="dxa"/>
            <w:right w:w="108" w:type="dxa"/>
          </w:tblCellMar>
        </w:tblPrEx>
        <w:trPr>
          <w:trHeight w:val="562" w:hRule="atLeast"/>
        </w:trPr>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部门（单位）名称</w:t>
            </w:r>
          </w:p>
        </w:tc>
        <w:tc>
          <w:tcPr>
            <w:tcW w:w="4602"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eastAsia="宋体" w:cs="宋体"/>
                <w:color w:val="000000"/>
                <w:kern w:val="0"/>
                <w:szCs w:val="21"/>
                <w:lang w:bidi="ar"/>
              </w:rPr>
              <w:t>会宁县</w:t>
            </w:r>
            <w:r>
              <w:rPr>
                <w:rFonts w:hint="eastAsia" w:ascii="宋体" w:hAnsi="宋体" w:eastAsia="宋体" w:cs="宋体"/>
                <w:color w:val="000000"/>
                <w:kern w:val="0"/>
                <w:szCs w:val="21"/>
                <w:lang w:eastAsia="zh-CN" w:bidi="ar"/>
              </w:rPr>
              <w:t>农业农村局</w:t>
            </w:r>
          </w:p>
        </w:tc>
      </w:tr>
      <w:tr>
        <w:tblPrEx>
          <w:tblCellMar>
            <w:top w:w="0" w:type="dxa"/>
            <w:left w:w="108" w:type="dxa"/>
            <w:bottom w:w="0" w:type="dxa"/>
            <w:right w:w="108" w:type="dxa"/>
          </w:tblCellMar>
        </w:tblPrEx>
        <w:trPr>
          <w:trHeight w:val="454" w:hRule="atLeast"/>
        </w:trPr>
        <w:tc>
          <w:tcPr>
            <w:tcW w:w="39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部门（单位）整体支出</w:t>
            </w:r>
          </w:p>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（万元）</w:t>
            </w:r>
          </w:p>
        </w:tc>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000000"/>
                <w:szCs w:val="21"/>
              </w:rPr>
            </w:pPr>
          </w:p>
        </w:tc>
        <w:tc>
          <w:tcPr>
            <w:tcW w:w="8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年初预算数</w:t>
            </w:r>
          </w:p>
        </w:tc>
        <w:tc>
          <w:tcPr>
            <w:tcW w:w="83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全年预算数（A）</w:t>
            </w:r>
          </w:p>
        </w:tc>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实际支出数（B）</w:t>
            </w:r>
          </w:p>
        </w:tc>
        <w:tc>
          <w:tcPr>
            <w:tcW w:w="83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执行率（B/A）</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分值</w:t>
            </w:r>
          </w:p>
        </w:tc>
        <w:tc>
          <w:tcPr>
            <w:tcW w:w="9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得分</w:t>
            </w:r>
          </w:p>
        </w:tc>
      </w:tr>
      <w:tr>
        <w:tblPrEx>
          <w:tblCellMar>
            <w:top w:w="0" w:type="dxa"/>
            <w:left w:w="108" w:type="dxa"/>
            <w:bottom w:w="0" w:type="dxa"/>
            <w:right w:w="108" w:type="dxa"/>
          </w:tblCellMar>
        </w:tblPrEx>
        <w:trPr>
          <w:trHeight w:val="454" w:hRule="atLeast"/>
        </w:trPr>
        <w:tc>
          <w:tcPr>
            <w:tcW w:w="39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000000"/>
                <w:szCs w:val="21"/>
              </w:rPr>
            </w:pPr>
          </w:p>
        </w:tc>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  全年支出</w:t>
            </w:r>
          </w:p>
        </w:tc>
        <w:tc>
          <w:tcPr>
            <w:tcW w:w="8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color w:val="000000"/>
                <w:szCs w:val="21"/>
              </w:rPr>
              <w:t>2068.63</w:t>
            </w:r>
          </w:p>
        </w:tc>
        <w:tc>
          <w:tcPr>
            <w:tcW w:w="83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p>
        </w:tc>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50669.1</w:t>
            </w:r>
          </w:p>
        </w:tc>
        <w:tc>
          <w:tcPr>
            <w:tcW w:w="83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9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r>
      <w:tr>
        <w:tblPrEx>
          <w:tblCellMar>
            <w:top w:w="0" w:type="dxa"/>
            <w:left w:w="108" w:type="dxa"/>
            <w:bottom w:w="0" w:type="dxa"/>
            <w:right w:w="108" w:type="dxa"/>
          </w:tblCellMar>
        </w:tblPrEx>
        <w:trPr>
          <w:trHeight w:val="454" w:hRule="atLeast"/>
        </w:trPr>
        <w:tc>
          <w:tcPr>
            <w:tcW w:w="39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000000"/>
                <w:szCs w:val="21"/>
              </w:rPr>
            </w:pPr>
          </w:p>
        </w:tc>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210" w:hanging="210" w:hanging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 其中：   基本支出</w:t>
            </w:r>
          </w:p>
        </w:tc>
        <w:tc>
          <w:tcPr>
            <w:tcW w:w="8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p>
        </w:tc>
        <w:tc>
          <w:tcPr>
            <w:tcW w:w="83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p>
        </w:tc>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2638.15</w:t>
            </w:r>
          </w:p>
        </w:tc>
        <w:tc>
          <w:tcPr>
            <w:tcW w:w="83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9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r>
      <w:tr>
        <w:tblPrEx>
          <w:tblCellMar>
            <w:top w:w="0" w:type="dxa"/>
            <w:left w:w="108" w:type="dxa"/>
            <w:bottom w:w="0" w:type="dxa"/>
            <w:right w:w="108" w:type="dxa"/>
          </w:tblCellMar>
        </w:tblPrEx>
        <w:trPr>
          <w:trHeight w:val="508" w:hRule="atLeast"/>
        </w:trPr>
        <w:tc>
          <w:tcPr>
            <w:tcW w:w="39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000000"/>
                <w:szCs w:val="21"/>
              </w:rPr>
            </w:pPr>
          </w:p>
        </w:tc>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 项目支出</w:t>
            </w:r>
          </w:p>
        </w:tc>
        <w:tc>
          <w:tcPr>
            <w:tcW w:w="8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p>
        </w:tc>
        <w:tc>
          <w:tcPr>
            <w:tcW w:w="83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p>
        </w:tc>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48030.95</w:t>
            </w:r>
          </w:p>
        </w:tc>
        <w:tc>
          <w:tcPr>
            <w:tcW w:w="83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9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r>
      <w:tr>
        <w:tblPrEx>
          <w:tblCellMar>
            <w:top w:w="0" w:type="dxa"/>
            <w:left w:w="108" w:type="dxa"/>
            <w:bottom w:w="0" w:type="dxa"/>
            <w:right w:w="108" w:type="dxa"/>
          </w:tblCellMar>
        </w:tblPrEx>
        <w:trPr>
          <w:trHeight w:val="454" w:hRule="atLeast"/>
        </w:trPr>
        <w:tc>
          <w:tcPr>
            <w:tcW w:w="39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年度总体绩效目标完成情况</w:t>
            </w:r>
          </w:p>
        </w:tc>
        <w:tc>
          <w:tcPr>
            <w:tcW w:w="211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预期目标</w:t>
            </w:r>
          </w:p>
        </w:tc>
        <w:tc>
          <w:tcPr>
            <w:tcW w:w="248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目标实际完成情况</w:t>
            </w:r>
          </w:p>
        </w:tc>
      </w:tr>
      <w:tr>
        <w:tblPrEx>
          <w:tblCellMar>
            <w:top w:w="0" w:type="dxa"/>
            <w:left w:w="108" w:type="dxa"/>
            <w:bottom w:w="0" w:type="dxa"/>
            <w:right w:w="108" w:type="dxa"/>
          </w:tblCellMar>
        </w:tblPrEx>
        <w:trPr>
          <w:trHeight w:val="1107" w:hRule="atLeast"/>
        </w:trPr>
        <w:tc>
          <w:tcPr>
            <w:tcW w:w="39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000000"/>
                <w:szCs w:val="21"/>
              </w:rPr>
            </w:pPr>
          </w:p>
        </w:tc>
        <w:tc>
          <w:tcPr>
            <w:tcW w:w="211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 w:hAnsi="仿宋" w:eastAsia="仿宋"/>
                <w:snapToGrid w:val="0"/>
                <w:sz w:val="32"/>
                <w:szCs w:val="24"/>
              </w:rPr>
            </w:pPr>
            <w:r>
              <w:rPr>
                <w:rFonts w:hint="eastAsia" w:ascii="仿宋" w:hAnsi="仿宋" w:eastAsia="仿宋"/>
                <w:snapToGrid w:val="0"/>
                <w:sz w:val="32"/>
                <w:szCs w:val="24"/>
              </w:rPr>
              <w:t>目标1：做好系统内党的建设、党风廉政建设等工作。</w:t>
            </w:r>
          </w:p>
        </w:tc>
        <w:tc>
          <w:tcPr>
            <w:tcW w:w="248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 w:hAnsi="仿宋" w:eastAsia="仿宋"/>
                <w:snapToGrid w:val="0"/>
                <w:sz w:val="32"/>
                <w:szCs w:val="24"/>
              </w:rPr>
            </w:pPr>
            <w:r>
              <w:rPr>
                <w:rFonts w:hint="eastAsia" w:ascii="仿宋" w:hAnsi="仿宋" w:eastAsia="仿宋"/>
                <w:snapToGrid w:val="0"/>
                <w:sz w:val="32"/>
                <w:szCs w:val="24"/>
              </w:rPr>
              <w:t>目标1完成情况：全面贯彻新时代党的建设要求，深化党风廉政建设，把党的路线方针政策、党史学习教育同</w:t>
            </w:r>
            <w:r>
              <w:rPr>
                <w:rFonts w:hint="eastAsia" w:ascii="仿宋" w:hAnsi="仿宋" w:eastAsia="仿宋"/>
                <w:snapToGrid w:val="0"/>
                <w:sz w:val="32"/>
                <w:szCs w:val="24"/>
                <w:lang w:eastAsia="zh-CN"/>
              </w:rPr>
              <w:t>农业农村</w:t>
            </w:r>
            <w:r>
              <w:rPr>
                <w:rFonts w:hint="eastAsia" w:ascii="仿宋" w:hAnsi="仿宋" w:eastAsia="仿宋"/>
                <w:snapToGrid w:val="0"/>
                <w:sz w:val="32"/>
                <w:szCs w:val="24"/>
              </w:rPr>
              <w:t>业务工作深度融合，不断强化干部职工理论武装，深入开展为民办实事活动。</w:t>
            </w:r>
          </w:p>
        </w:tc>
      </w:tr>
      <w:tr>
        <w:tblPrEx>
          <w:tblCellMar>
            <w:top w:w="0" w:type="dxa"/>
            <w:left w:w="108" w:type="dxa"/>
            <w:bottom w:w="0" w:type="dxa"/>
            <w:right w:w="108" w:type="dxa"/>
          </w:tblCellMar>
        </w:tblPrEx>
        <w:trPr>
          <w:trHeight w:val="1021" w:hRule="atLeast"/>
        </w:trPr>
        <w:tc>
          <w:tcPr>
            <w:tcW w:w="39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000000"/>
                <w:szCs w:val="21"/>
              </w:rPr>
            </w:pPr>
          </w:p>
        </w:tc>
        <w:tc>
          <w:tcPr>
            <w:tcW w:w="211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 w:hAnsi="仿宋" w:eastAsia="仿宋"/>
                <w:snapToGrid w:val="0"/>
                <w:sz w:val="32"/>
                <w:szCs w:val="24"/>
              </w:rPr>
            </w:pPr>
            <w:r>
              <w:rPr>
                <w:rFonts w:hint="eastAsia" w:ascii="仿宋" w:hAnsi="仿宋" w:eastAsia="仿宋"/>
                <w:snapToGrid w:val="0"/>
                <w:sz w:val="32"/>
                <w:szCs w:val="24"/>
              </w:rPr>
              <w:t>目标2：负责全县农牧业工作运行管理</w:t>
            </w:r>
            <w:r>
              <w:rPr>
                <w:rFonts w:hint="eastAsia" w:ascii="仿宋" w:hAnsi="仿宋" w:eastAsia="仿宋"/>
                <w:snapToGrid w:val="0"/>
                <w:sz w:val="32"/>
                <w:szCs w:val="24"/>
                <w:lang w:eastAsia="zh-CN"/>
              </w:rPr>
              <w:t>，</w:t>
            </w:r>
            <w:r>
              <w:rPr>
                <w:rFonts w:hint="eastAsia" w:ascii="仿宋" w:hAnsi="仿宋" w:eastAsia="仿宋"/>
                <w:snapToGrid w:val="0"/>
                <w:sz w:val="32"/>
                <w:szCs w:val="24"/>
              </w:rPr>
              <w:t>负责</w:t>
            </w:r>
            <w:r>
              <w:rPr>
                <w:rFonts w:hint="eastAsia" w:ascii="仿宋" w:hAnsi="仿宋" w:eastAsia="仿宋"/>
                <w:snapToGrid w:val="0"/>
                <w:sz w:val="32"/>
                <w:szCs w:val="24"/>
                <w:lang w:eastAsia="zh-CN"/>
              </w:rPr>
              <w:t>农业农村</w:t>
            </w:r>
            <w:r>
              <w:rPr>
                <w:rFonts w:hint="eastAsia" w:ascii="仿宋" w:hAnsi="仿宋" w:eastAsia="仿宋"/>
                <w:snapToGrid w:val="0"/>
                <w:sz w:val="32"/>
                <w:szCs w:val="24"/>
              </w:rPr>
              <w:t>监督和安全生产管理等工作。</w:t>
            </w:r>
          </w:p>
        </w:tc>
        <w:tc>
          <w:tcPr>
            <w:tcW w:w="248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 w:hAnsi="仿宋" w:eastAsia="仿宋"/>
                <w:snapToGrid w:val="0"/>
                <w:sz w:val="32"/>
                <w:szCs w:val="24"/>
              </w:rPr>
            </w:pPr>
            <w:r>
              <w:rPr>
                <w:rFonts w:hint="eastAsia" w:ascii="仿宋" w:hAnsi="仿宋" w:eastAsia="仿宋"/>
                <w:snapToGrid w:val="0"/>
                <w:sz w:val="32"/>
                <w:szCs w:val="24"/>
              </w:rPr>
              <w:t>目标2完成情况：1、贯彻执行党的农业农村方针政策及国家、省、市有关“三农”工作的法律法规和政策。统筹研究和组织实施“三农”工作的发展战略、中长期规划、重大政策。2、统筹推动发展全县农村社会事业、农村公共服务、农村文化、农村基础设施和乡村治理。牵头组织改善农村人居环境。指导农村精神文明和优秀农耕文化建设。指导农业行业安全生产工作。3、贯彻落实全县农村经济体制改革和巩固完善农村基本经营制度的政策。负责农民承包地、农村宅基地改革和管理有关工作。负责农村集体产权制度改革，指导农村集体经济组织发展和集体资产管理工作。指导农民合作经济组织、农业产业化服务体系、新型农业经营主体建设与发展。4、指导全县乡村特色产业、农产品加工业、休闲农业发展工作。承担农业、畜牧兽医行业统计和农业农村信息化有关工作。</w:t>
            </w:r>
            <w:r>
              <w:rPr>
                <w:rFonts w:hint="eastAsia" w:ascii="仿宋" w:hAnsi="仿宋" w:eastAsia="仿宋"/>
                <w:color w:val="333333"/>
                <w:sz w:val="32"/>
                <w:szCs w:val="24"/>
                <w:shd w:val="clear" w:color="auto" w:fill="FFFFFF"/>
              </w:rPr>
              <w:t>5、</w:t>
            </w:r>
            <w:r>
              <w:rPr>
                <w:rFonts w:hint="eastAsia" w:ascii="仿宋" w:hAnsi="仿宋" w:eastAsia="仿宋"/>
                <w:sz w:val="32"/>
                <w:szCs w:val="24"/>
              </w:rPr>
              <w:t>负责全县种植业、畜牧业、饲草饲料业、畜禽屠宰行业、兽药和兽医器械行业、渔业、农业机械化等产业的监督管理。指导粮食、畜禽等农产品生产,组织构建现代农业体系、生产体系、经营体系,指导农业标准化生产。负责农业机械和渔政监督管理工作。</w:t>
            </w:r>
            <w:r>
              <w:rPr>
                <w:rFonts w:hint="eastAsia" w:ascii="仿宋" w:hAnsi="仿宋" w:eastAsia="仿宋"/>
                <w:color w:val="333333"/>
                <w:sz w:val="32"/>
                <w:szCs w:val="24"/>
                <w:shd w:val="clear" w:color="auto" w:fill="FFFFFF"/>
              </w:rPr>
              <w:t>6、</w:t>
            </w:r>
            <w:r>
              <w:rPr>
                <w:rFonts w:hint="eastAsia" w:ascii="仿宋" w:hAnsi="仿宋" w:eastAsia="仿宋"/>
                <w:sz w:val="32"/>
                <w:szCs w:val="24"/>
              </w:rPr>
              <w:t>负责全县农产品质量安全监督管理。依法开展农产品质量安全风险评估，发布有关农产品质量安全状况信息，负责农产品质量安全监测，组织实施农业转基因生物安全评价标准和技术规范。参与制定农产品质量安全地方标准并会同有关部门组织实施。指导农业检验检测体系建设和机构考核。依法实施符合安全标准的农产品认证和监督管理。</w:t>
            </w:r>
            <w:r>
              <w:rPr>
                <w:rFonts w:hint="eastAsia" w:ascii="仿宋" w:hAnsi="仿宋" w:eastAsia="仿宋"/>
                <w:color w:val="333333"/>
                <w:sz w:val="32"/>
                <w:szCs w:val="24"/>
                <w:shd w:val="clear" w:color="auto" w:fill="FFFFFF"/>
              </w:rPr>
              <w:t>7、</w:t>
            </w:r>
            <w:r>
              <w:rPr>
                <w:rFonts w:hint="eastAsia" w:ascii="仿宋" w:hAnsi="仿宋" w:eastAsia="仿宋"/>
                <w:sz w:val="32"/>
                <w:szCs w:val="24"/>
              </w:rPr>
              <w:t>组织全县农业资源区划工作,指导农用地以及农业生物物种资源及种子的保护与管理,负责水生野生动植物保护、耕地及永久基本农田质量保护工作。开展土壤污染防治和耕地环境质量修复治理工作。指导农产品产地环境管理和农业清洁生产。指导设施农业、生态循环农业、节水农业发展以及农村可再生能源综合开发利用、农业生物质产业发展。</w:t>
            </w:r>
            <w:r>
              <w:rPr>
                <w:rFonts w:hint="eastAsia" w:ascii="仿宋" w:hAnsi="仿宋" w:eastAsia="仿宋"/>
                <w:color w:val="333333"/>
                <w:sz w:val="32"/>
                <w:szCs w:val="24"/>
                <w:shd w:val="clear" w:color="auto" w:fill="FFFFFF"/>
              </w:rPr>
              <w:t>8、</w:t>
            </w:r>
            <w:r>
              <w:rPr>
                <w:rFonts w:hint="eastAsia" w:ascii="仿宋" w:hAnsi="仿宋" w:eastAsia="仿宋"/>
                <w:sz w:val="32"/>
                <w:szCs w:val="24"/>
              </w:rPr>
              <w:t>负责农作物重大病虫害防治和动物疫病防控。组织监督对县内动植物的防疫检疫工作，负责防治、控制疫情并组织扑灭。组织植物检疫性有害生物普查。组织兽医医政、兽药药政药检工作。负责执业兽医的管理。承担饲料生产企业设立条件审查和动物源性饲料安全卫生审查职责。承担兽药经营许可证核发、动物诊疗许可证核发、动物检疫核准、动物防疫条件合格证核发、畜禽定点屠宰备案登记和监管等职责。</w:t>
            </w:r>
            <w:r>
              <w:rPr>
                <w:rFonts w:hint="eastAsia" w:ascii="仿宋" w:hAnsi="仿宋" w:eastAsia="仿宋"/>
                <w:color w:val="333333"/>
                <w:sz w:val="32"/>
                <w:szCs w:val="24"/>
                <w:shd w:val="clear" w:color="auto" w:fill="FFFFFF"/>
              </w:rPr>
              <w:t>9、</w:t>
            </w:r>
            <w:r>
              <w:rPr>
                <w:rFonts w:hint="eastAsia" w:ascii="仿宋" w:hAnsi="仿宋" w:eastAsia="仿宋"/>
                <w:sz w:val="32"/>
                <w:szCs w:val="24"/>
              </w:rPr>
              <w:t>负责组织实施农业投资、农业综合开发、农田整治、农田水利建设等农业农村项目和监督管理。</w:t>
            </w:r>
            <w:r>
              <w:rPr>
                <w:rFonts w:hint="eastAsia" w:ascii="仿宋" w:hAnsi="仿宋" w:eastAsia="仿宋"/>
                <w:color w:val="333333"/>
                <w:sz w:val="32"/>
                <w:szCs w:val="24"/>
                <w:shd w:val="clear" w:color="auto" w:fill="FFFFFF"/>
              </w:rPr>
              <w:t>10、</w:t>
            </w:r>
            <w:r>
              <w:rPr>
                <w:rFonts w:hint="eastAsia" w:ascii="仿宋" w:hAnsi="仿宋" w:eastAsia="仿宋"/>
                <w:sz w:val="32"/>
                <w:szCs w:val="24"/>
              </w:rPr>
              <w:t>推动全县农业科技体制改革和农业科技创新体系建设。指导农业产业技术体系、农技农机推广体系和饲草良种体</w:t>
            </w:r>
            <w:r>
              <w:rPr>
                <w:rFonts w:hint="eastAsia" w:ascii="仿宋" w:hAnsi="仿宋" w:eastAsia="仿宋"/>
                <w:spacing w:val="-6"/>
                <w:sz w:val="32"/>
                <w:szCs w:val="24"/>
              </w:rPr>
              <w:t>系建设,组织开展农业领域的高新技术、科技成果转化和技术推广。</w:t>
            </w:r>
            <w:r>
              <w:rPr>
                <w:rFonts w:hint="eastAsia" w:ascii="仿宋" w:hAnsi="仿宋" w:eastAsia="仿宋"/>
                <w:color w:val="333333"/>
                <w:sz w:val="32"/>
                <w:szCs w:val="24"/>
                <w:shd w:val="clear" w:color="auto" w:fill="FFFFFF"/>
              </w:rPr>
              <w:t>11、</w:t>
            </w:r>
            <w:r>
              <w:rPr>
                <w:rFonts w:hint="eastAsia" w:ascii="仿宋" w:hAnsi="仿宋" w:eastAsia="仿宋"/>
                <w:sz w:val="32"/>
                <w:szCs w:val="24"/>
              </w:rPr>
              <w:t>指导畜牧业结构调整，指导畜牧良种推广应用、标准化生产、规模饲养、畜禽养殖场备案管理、畜禽粪污资源化利用、病死畜禽无害化处理、畜牧设施装备现代化。</w:t>
            </w:r>
            <w:r>
              <w:rPr>
                <w:rFonts w:hint="eastAsia" w:ascii="仿宋" w:hAnsi="仿宋" w:eastAsia="仿宋"/>
                <w:color w:val="333333"/>
                <w:sz w:val="32"/>
                <w:szCs w:val="24"/>
                <w:shd w:val="clear" w:color="auto" w:fill="FFFFFF"/>
              </w:rPr>
              <w:t>12、</w:t>
            </w:r>
            <w:r>
              <w:rPr>
                <w:rFonts w:hint="eastAsia" w:ascii="仿宋" w:hAnsi="仿宋" w:eastAsia="仿宋"/>
                <w:sz w:val="32"/>
                <w:szCs w:val="24"/>
              </w:rPr>
              <w:t>监督管理兽药及兽医器械、饲料及饲料添加剂、生鲜乳生产收购运输环节、畜禽屠宰环节质量安全。监督管理兽医医政，负责兽医相关人员、中兽医和动物诊疗机构管理。</w:t>
            </w:r>
            <w:r>
              <w:rPr>
                <w:rFonts w:hint="eastAsia" w:ascii="仿宋" w:hAnsi="仿宋" w:eastAsia="仿宋"/>
                <w:color w:val="333333"/>
                <w:sz w:val="32"/>
                <w:szCs w:val="24"/>
                <w:shd w:val="clear" w:color="auto" w:fill="FFFFFF"/>
              </w:rPr>
              <w:t>13、</w:t>
            </w:r>
            <w:r>
              <w:rPr>
                <w:rFonts w:hint="eastAsia" w:ascii="仿宋" w:hAnsi="仿宋" w:eastAsia="仿宋"/>
                <w:sz w:val="32"/>
                <w:szCs w:val="24"/>
              </w:rPr>
              <w:t>指导全县农业农村人才工作。拟定农业农村人才队伍建设规划并组织实施，指导农业教育和农业职能技能开发，指导新型职业农民培育、农业科技人才培养和农村实用人才培训工作。14、完成县委、县政府、县委农村工作领导小组和上级业务主管部门交办的其他任务。15、</w:t>
            </w:r>
            <w:r>
              <w:rPr>
                <w:rFonts w:hint="eastAsia" w:ascii="仿宋" w:hAnsi="仿宋" w:eastAsia="仿宋"/>
                <w:snapToGrid w:val="0"/>
                <w:sz w:val="32"/>
                <w:szCs w:val="24"/>
              </w:rPr>
              <w:t>职能转变（1）</w:t>
            </w:r>
            <w:r>
              <w:rPr>
                <w:rFonts w:hint="eastAsia" w:ascii="仿宋" w:hAnsi="仿宋" w:eastAsia="仿宋"/>
                <w:sz w:val="32"/>
                <w:szCs w:val="24"/>
              </w:rPr>
              <w:t>强化农业综合执法职责，加大农业面源污染防治力度，促进绿色生态农业发展。加强农产品质量安全和相关农业生产资料、农业投入品的监督管理，坚持最严谨的标准、最严格的监管、最严厉的处罚、最严肃的问责，严防、严管、严控质量安全风险，让人民群众吃得放心、安心。（2）统筹实施乡村振兴战略，深化农业供给侧结构性改革，提升农业发展质量，扎实推进美丽乡村建设，推动农业全面升级、农村全面进步、农民全面发展，加快实现农业农村现代化。（3）深入推进简政放权，加强对行业内交叉重复以及性质相同、用途相近的农业投资项目的统筹整合，最大限度缩小项目审批范围，优化审批流程，缩短审批时限，加强事中事后监管，切实提升农业产业发展水平。16、</w:t>
            </w:r>
            <w:r>
              <w:rPr>
                <w:rFonts w:hint="eastAsia" w:ascii="仿宋" w:hAnsi="仿宋" w:eastAsia="仿宋"/>
                <w:snapToGrid w:val="0"/>
                <w:sz w:val="32"/>
                <w:szCs w:val="24"/>
              </w:rPr>
              <w:t>有关职责分工（1）与县市场监督管理局有关职责分工。县农业农村局负责食用农产品从种植养殖环节到进入批发、零售市场或生产加工企业前的质量安全监督管理，食用农产品进入批发、零售市场或生产加工企业后，由市场监督管理局监督管理。县农业农村局负责动植物疫病防控、畜禽屠宰环节、生鲜乳生产收购环节质量安全监督管理。两部门要建立食品安全产地准出、市场准入和追溯机制，加强协调配合和工作衔接，形成监管合力。（2）与市生态环境局会宁分局有关职责分工。市生态环境局会宁分局负责畜禽养殖等农业面源污染防治的监督管理。县农业农村局负责畜禽养殖废弃物综合利用的指导服务和病死畜禽无害化处理的监督管理。两部门要相互衔接，密切配合，共同做好畜禽规模养殖环境保护监督管理工作。</w:t>
            </w:r>
          </w:p>
        </w:tc>
      </w:tr>
      <w:tr>
        <w:tblPrEx>
          <w:tblCellMar>
            <w:top w:w="0" w:type="dxa"/>
            <w:left w:w="108" w:type="dxa"/>
            <w:bottom w:w="0" w:type="dxa"/>
            <w:right w:w="108" w:type="dxa"/>
          </w:tblCellMar>
        </w:tblPrEx>
        <w:trPr>
          <w:trHeight w:val="890" w:hRule="atLeast"/>
        </w:trPr>
        <w:tc>
          <w:tcPr>
            <w:tcW w:w="39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211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一级指标</w:t>
            </w:r>
          </w:p>
        </w:tc>
        <w:tc>
          <w:tcPr>
            <w:tcW w:w="248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b/>
                <w:bCs/>
                <w:color w:val="000000"/>
                <w:kern w:val="0"/>
                <w:szCs w:val="21"/>
                <w:lang w:bidi="ar"/>
              </w:rPr>
              <w:t>二级指标</w:t>
            </w:r>
          </w:p>
        </w:tc>
      </w:tr>
      <w:tr>
        <w:tblPrEx>
          <w:tblCellMar>
            <w:top w:w="0" w:type="dxa"/>
            <w:left w:w="108" w:type="dxa"/>
            <w:bottom w:w="0" w:type="dxa"/>
            <w:right w:w="108" w:type="dxa"/>
          </w:tblCellMar>
        </w:tblPrEx>
        <w:trPr>
          <w:trHeight w:val="701" w:hRule="atLeast"/>
        </w:trPr>
        <w:tc>
          <w:tcPr>
            <w:tcW w:w="39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年度绩效指标完成情况</w:t>
            </w:r>
          </w:p>
        </w:tc>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color w:val="000000"/>
                <w:kern w:val="0"/>
                <w:szCs w:val="21"/>
                <w:lang w:bidi="ar"/>
              </w:rPr>
              <w:t xml:space="preserve">部门管理     </w:t>
            </w:r>
            <w:bookmarkStart w:id="0" w:name="_GoBack"/>
            <w:bookmarkEnd w:id="0"/>
          </w:p>
        </w:tc>
        <w:tc>
          <w:tcPr>
            <w:tcW w:w="8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color w:val="000000"/>
                <w:kern w:val="0"/>
                <w:szCs w:val="21"/>
                <w:lang w:bidi="ar"/>
              </w:rPr>
              <w:t>资金投入</w:t>
            </w:r>
          </w:p>
        </w:tc>
        <w:tc>
          <w:tcPr>
            <w:tcW w:w="83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三级指标</w:t>
            </w:r>
          </w:p>
        </w:tc>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年度指标值</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实际完成值</w:t>
            </w:r>
          </w:p>
        </w:tc>
        <w:tc>
          <w:tcPr>
            <w:tcW w:w="150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偏差原因分析及改进措施</w:t>
            </w:r>
          </w:p>
        </w:tc>
      </w:tr>
      <w:tr>
        <w:tblPrEx>
          <w:tblCellMar>
            <w:top w:w="0" w:type="dxa"/>
            <w:left w:w="108" w:type="dxa"/>
            <w:bottom w:w="0" w:type="dxa"/>
            <w:right w:w="108" w:type="dxa"/>
          </w:tblCellMar>
        </w:tblPrEx>
        <w:trPr>
          <w:trHeight w:val="548" w:hRule="atLeast"/>
        </w:trPr>
        <w:tc>
          <w:tcPr>
            <w:tcW w:w="39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446" w:type="pct"/>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履职效果      </w:t>
            </w:r>
          </w:p>
        </w:tc>
        <w:tc>
          <w:tcPr>
            <w:tcW w:w="830" w:type="pct"/>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kern w:val="0"/>
                <w:szCs w:val="21"/>
                <w:lang w:bidi="ar"/>
              </w:rPr>
              <w:t>财务管理</w:t>
            </w:r>
          </w:p>
        </w:tc>
        <w:tc>
          <w:tcPr>
            <w:tcW w:w="83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基本支出预算执行率</w:t>
            </w:r>
          </w:p>
        </w:tc>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w:t>
            </w:r>
          </w:p>
        </w:tc>
        <w:tc>
          <w:tcPr>
            <w:tcW w:w="55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w:t>
            </w:r>
          </w:p>
        </w:tc>
        <w:tc>
          <w:tcPr>
            <w:tcW w:w="150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szCs w:val="21"/>
              </w:rPr>
            </w:pPr>
          </w:p>
        </w:tc>
      </w:tr>
      <w:tr>
        <w:tblPrEx>
          <w:tblCellMar>
            <w:top w:w="0" w:type="dxa"/>
            <w:left w:w="108" w:type="dxa"/>
            <w:bottom w:w="0" w:type="dxa"/>
            <w:right w:w="108" w:type="dxa"/>
          </w:tblCellMar>
        </w:tblPrEx>
        <w:trPr>
          <w:trHeight w:val="454" w:hRule="atLeast"/>
        </w:trPr>
        <w:tc>
          <w:tcPr>
            <w:tcW w:w="39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446" w:type="pct"/>
            <w:vMerge w:val="continue"/>
            <w:tcBorders>
              <w:left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830" w:type="pct"/>
            <w:vMerge w:val="continue"/>
            <w:tcBorders>
              <w:left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83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项目支出预算执行率</w:t>
            </w:r>
          </w:p>
        </w:tc>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w:t>
            </w:r>
          </w:p>
        </w:tc>
        <w:tc>
          <w:tcPr>
            <w:tcW w:w="55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w:t>
            </w:r>
          </w:p>
        </w:tc>
        <w:tc>
          <w:tcPr>
            <w:tcW w:w="150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szCs w:val="21"/>
              </w:rPr>
            </w:pPr>
          </w:p>
        </w:tc>
      </w:tr>
      <w:tr>
        <w:tblPrEx>
          <w:tblCellMar>
            <w:top w:w="0" w:type="dxa"/>
            <w:left w:w="108" w:type="dxa"/>
            <w:bottom w:w="0" w:type="dxa"/>
            <w:right w:w="108" w:type="dxa"/>
          </w:tblCellMar>
        </w:tblPrEx>
        <w:trPr>
          <w:trHeight w:val="547" w:hRule="atLeast"/>
        </w:trPr>
        <w:tc>
          <w:tcPr>
            <w:tcW w:w="39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446" w:type="pct"/>
            <w:vMerge w:val="continue"/>
            <w:tcBorders>
              <w:left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830" w:type="pct"/>
            <w:vMerge w:val="continue"/>
            <w:tcBorders>
              <w:left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83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“三公经费”控制情况</w:t>
            </w:r>
          </w:p>
        </w:tc>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下降</w:t>
            </w:r>
          </w:p>
        </w:tc>
        <w:tc>
          <w:tcPr>
            <w:tcW w:w="55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下降</w:t>
            </w:r>
          </w:p>
        </w:tc>
        <w:tc>
          <w:tcPr>
            <w:tcW w:w="150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454" w:hRule="atLeast"/>
        </w:trPr>
        <w:tc>
          <w:tcPr>
            <w:tcW w:w="39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446" w:type="pct"/>
            <w:vMerge w:val="continue"/>
            <w:tcBorders>
              <w:left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830" w:type="pct"/>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p>
        </w:tc>
        <w:tc>
          <w:tcPr>
            <w:tcW w:w="83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专项资金支出安排合理性</w:t>
            </w:r>
          </w:p>
        </w:tc>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合理</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合理</w:t>
            </w:r>
          </w:p>
        </w:tc>
        <w:tc>
          <w:tcPr>
            <w:tcW w:w="150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szCs w:val="21"/>
              </w:rPr>
            </w:pPr>
          </w:p>
        </w:tc>
      </w:tr>
      <w:tr>
        <w:tblPrEx>
          <w:tblCellMar>
            <w:top w:w="0" w:type="dxa"/>
            <w:left w:w="108" w:type="dxa"/>
            <w:bottom w:w="0" w:type="dxa"/>
            <w:right w:w="108" w:type="dxa"/>
          </w:tblCellMar>
        </w:tblPrEx>
        <w:trPr>
          <w:trHeight w:val="454" w:hRule="atLeast"/>
        </w:trPr>
        <w:tc>
          <w:tcPr>
            <w:tcW w:w="39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446" w:type="pct"/>
            <w:vMerge w:val="continue"/>
            <w:tcBorders>
              <w:left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830" w:type="pct"/>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kern w:val="0"/>
                <w:szCs w:val="21"/>
                <w:lang w:bidi="ar"/>
              </w:rPr>
              <w:t>采购管理</w:t>
            </w:r>
          </w:p>
        </w:tc>
        <w:tc>
          <w:tcPr>
            <w:tcW w:w="83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财务管理制度健全性</w:t>
            </w:r>
          </w:p>
        </w:tc>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健全</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健全</w:t>
            </w:r>
          </w:p>
        </w:tc>
        <w:tc>
          <w:tcPr>
            <w:tcW w:w="150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szCs w:val="21"/>
              </w:rPr>
            </w:pPr>
          </w:p>
        </w:tc>
      </w:tr>
      <w:tr>
        <w:tblPrEx>
          <w:tblCellMar>
            <w:top w:w="0" w:type="dxa"/>
            <w:left w:w="108" w:type="dxa"/>
            <w:bottom w:w="0" w:type="dxa"/>
            <w:right w:w="108" w:type="dxa"/>
          </w:tblCellMar>
        </w:tblPrEx>
        <w:trPr>
          <w:trHeight w:val="454" w:hRule="atLeast"/>
        </w:trPr>
        <w:tc>
          <w:tcPr>
            <w:tcW w:w="39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446" w:type="pct"/>
            <w:vMerge w:val="continue"/>
            <w:tcBorders>
              <w:left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830" w:type="pct"/>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p>
        </w:tc>
        <w:tc>
          <w:tcPr>
            <w:tcW w:w="83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资金使用规范性</w:t>
            </w:r>
          </w:p>
        </w:tc>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规范</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规范</w:t>
            </w:r>
          </w:p>
        </w:tc>
        <w:tc>
          <w:tcPr>
            <w:tcW w:w="150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szCs w:val="21"/>
              </w:rPr>
            </w:pPr>
          </w:p>
        </w:tc>
      </w:tr>
      <w:tr>
        <w:trPr>
          <w:trHeight w:val="454" w:hRule="atLeast"/>
        </w:trPr>
        <w:tc>
          <w:tcPr>
            <w:tcW w:w="39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446" w:type="pct"/>
            <w:vMerge w:val="continue"/>
            <w:tcBorders>
              <w:left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8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资产管理</w:t>
            </w:r>
          </w:p>
        </w:tc>
        <w:tc>
          <w:tcPr>
            <w:tcW w:w="83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政府采购合规性</w:t>
            </w:r>
          </w:p>
        </w:tc>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合规</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合规</w:t>
            </w:r>
          </w:p>
        </w:tc>
        <w:tc>
          <w:tcPr>
            <w:tcW w:w="150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szCs w:val="21"/>
              </w:rPr>
            </w:pPr>
          </w:p>
        </w:tc>
      </w:tr>
      <w:tr>
        <w:tblPrEx>
          <w:tblCellMar>
            <w:top w:w="0" w:type="dxa"/>
            <w:left w:w="108" w:type="dxa"/>
            <w:bottom w:w="0" w:type="dxa"/>
            <w:right w:w="108" w:type="dxa"/>
          </w:tblCellMar>
        </w:tblPrEx>
        <w:trPr>
          <w:trHeight w:val="454" w:hRule="atLeast"/>
        </w:trPr>
        <w:tc>
          <w:tcPr>
            <w:tcW w:w="39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446" w:type="pct"/>
            <w:vMerge w:val="continue"/>
            <w:tcBorders>
              <w:left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8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人员管理</w:t>
            </w:r>
          </w:p>
        </w:tc>
        <w:tc>
          <w:tcPr>
            <w:tcW w:w="83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资产管理制度健全性</w:t>
            </w:r>
          </w:p>
        </w:tc>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健全</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健全</w:t>
            </w:r>
          </w:p>
        </w:tc>
        <w:tc>
          <w:tcPr>
            <w:tcW w:w="150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szCs w:val="21"/>
              </w:rPr>
            </w:pPr>
          </w:p>
        </w:tc>
      </w:tr>
      <w:tr>
        <w:tblPrEx>
          <w:tblCellMar>
            <w:top w:w="0" w:type="dxa"/>
            <w:left w:w="108" w:type="dxa"/>
            <w:bottom w:w="0" w:type="dxa"/>
            <w:right w:w="108" w:type="dxa"/>
          </w:tblCellMar>
        </w:tblPrEx>
        <w:trPr>
          <w:trHeight w:val="454" w:hRule="atLeast"/>
        </w:trPr>
        <w:tc>
          <w:tcPr>
            <w:tcW w:w="39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446" w:type="pct"/>
            <w:vMerge w:val="continue"/>
            <w:tcBorders>
              <w:left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8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重点工作管理</w:t>
            </w:r>
          </w:p>
        </w:tc>
        <w:tc>
          <w:tcPr>
            <w:tcW w:w="83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人事管理制度健全性</w:t>
            </w:r>
          </w:p>
        </w:tc>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健全</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健全</w:t>
            </w:r>
          </w:p>
        </w:tc>
        <w:tc>
          <w:tcPr>
            <w:tcW w:w="150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szCs w:val="21"/>
              </w:rPr>
            </w:pPr>
          </w:p>
        </w:tc>
      </w:tr>
      <w:tr>
        <w:tblPrEx>
          <w:tblCellMar>
            <w:top w:w="0" w:type="dxa"/>
            <w:left w:w="108" w:type="dxa"/>
            <w:bottom w:w="0" w:type="dxa"/>
            <w:right w:w="108" w:type="dxa"/>
          </w:tblCellMar>
        </w:tblPrEx>
        <w:trPr>
          <w:trHeight w:val="454" w:hRule="atLeast"/>
        </w:trPr>
        <w:tc>
          <w:tcPr>
            <w:tcW w:w="39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446" w:type="pct"/>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p>
        </w:tc>
        <w:tc>
          <w:tcPr>
            <w:tcW w:w="8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p>
        </w:tc>
        <w:tc>
          <w:tcPr>
            <w:tcW w:w="83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水利重点项目实施完成情况</w:t>
            </w:r>
          </w:p>
        </w:tc>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w:t>
            </w:r>
          </w:p>
        </w:tc>
        <w:tc>
          <w:tcPr>
            <w:tcW w:w="150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szCs w:val="21"/>
              </w:rPr>
            </w:pPr>
          </w:p>
        </w:tc>
      </w:tr>
      <w:tr>
        <w:tblPrEx>
          <w:tblCellMar>
            <w:top w:w="0" w:type="dxa"/>
            <w:left w:w="108" w:type="dxa"/>
            <w:bottom w:w="0" w:type="dxa"/>
            <w:right w:w="108" w:type="dxa"/>
          </w:tblCellMar>
        </w:tblPrEx>
        <w:trPr>
          <w:trHeight w:val="682" w:hRule="atLeast"/>
        </w:trPr>
        <w:tc>
          <w:tcPr>
            <w:tcW w:w="39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446" w:type="pct"/>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kern w:val="0"/>
                <w:szCs w:val="21"/>
                <w:lang w:bidi="ar"/>
              </w:rPr>
              <w:t>服务对象满意度</w:t>
            </w:r>
          </w:p>
        </w:tc>
        <w:tc>
          <w:tcPr>
            <w:tcW w:w="8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组织建设</w:t>
            </w:r>
          </w:p>
        </w:tc>
        <w:tc>
          <w:tcPr>
            <w:tcW w:w="83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城乡居民基本用水长期稳定</w:t>
            </w:r>
          </w:p>
        </w:tc>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长期稳定</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长期稳定</w:t>
            </w:r>
          </w:p>
        </w:tc>
        <w:tc>
          <w:tcPr>
            <w:tcW w:w="150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szCs w:val="21"/>
              </w:rPr>
            </w:pPr>
          </w:p>
        </w:tc>
      </w:tr>
      <w:tr>
        <w:tblPrEx>
          <w:tblCellMar>
            <w:top w:w="0" w:type="dxa"/>
            <w:left w:w="108" w:type="dxa"/>
            <w:bottom w:w="0" w:type="dxa"/>
            <w:right w:w="108" w:type="dxa"/>
          </w:tblCellMar>
        </w:tblPrEx>
        <w:trPr>
          <w:trHeight w:val="547" w:hRule="atLeast"/>
        </w:trPr>
        <w:tc>
          <w:tcPr>
            <w:tcW w:w="39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446" w:type="pct"/>
            <w:vMerge w:val="continue"/>
            <w:tcBorders>
              <w:left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8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档案管理</w:t>
            </w:r>
          </w:p>
        </w:tc>
        <w:tc>
          <w:tcPr>
            <w:tcW w:w="83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党建工作开展规律性</w:t>
            </w:r>
          </w:p>
        </w:tc>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规律</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规律</w:t>
            </w:r>
          </w:p>
        </w:tc>
        <w:tc>
          <w:tcPr>
            <w:tcW w:w="150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szCs w:val="21"/>
              </w:rPr>
            </w:pPr>
          </w:p>
        </w:tc>
      </w:tr>
      <w:tr>
        <w:tblPrEx>
          <w:tblCellMar>
            <w:top w:w="0" w:type="dxa"/>
            <w:left w:w="108" w:type="dxa"/>
            <w:bottom w:w="0" w:type="dxa"/>
            <w:right w:w="108" w:type="dxa"/>
          </w:tblCellMar>
        </w:tblPrEx>
        <w:trPr>
          <w:trHeight w:val="534" w:hRule="atLeast"/>
        </w:trPr>
        <w:tc>
          <w:tcPr>
            <w:tcW w:w="39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446" w:type="pct"/>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p>
        </w:tc>
        <w:tc>
          <w:tcPr>
            <w:tcW w:w="8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服务对象满意度</w:t>
            </w:r>
          </w:p>
        </w:tc>
        <w:tc>
          <w:tcPr>
            <w:tcW w:w="83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档案管理完备性</w:t>
            </w:r>
          </w:p>
        </w:tc>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完备</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完备</w:t>
            </w:r>
          </w:p>
        </w:tc>
        <w:tc>
          <w:tcPr>
            <w:tcW w:w="150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szCs w:val="21"/>
              </w:rPr>
            </w:pPr>
          </w:p>
        </w:tc>
      </w:tr>
      <w:tr>
        <w:tblPrEx>
          <w:tblCellMar>
            <w:top w:w="0" w:type="dxa"/>
            <w:left w:w="108" w:type="dxa"/>
            <w:bottom w:w="0" w:type="dxa"/>
            <w:right w:w="108" w:type="dxa"/>
          </w:tblCellMar>
        </w:tblPrEx>
        <w:trPr>
          <w:trHeight w:val="454" w:hRule="atLeast"/>
        </w:trPr>
        <w:tc>
          <w:tcPr>
            <w:tcW w:w="39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szCs w:val="21"/>
              </w:rPr>
            </w:pPr>
          </w:p>
        </w:tc>
        <w:tc>
          <w:tcPr>
            <w:tcW w:w="8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p>
        </w:tc>
        <w:tc>
          <w:tcPr>
            <w:tcW w:w="83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全县受益人员满意度</w:t>
            </w:r>
          </w:p>
        </w:tc>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≧90%</w:t>
            </w:r>
          </w:p>
        </w:tc>
        <w:tc>
          <w:tcPr>
            <w:tcW w:w="55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81.00%</w:t>
            </w:r>
          </w:p>
        </w:tc>
        <w:tc>
          <w:tcPr>
            <w:tcW w:w="150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szCs w:val="21"/>
              </w:rPr>
            </w:pPr>
          </w:p>
        </w:tc>
      </w:tr>
      <w:tr>
        <w:tblPrEx>
          <w:tblCellMar>
            <w:top w:w="0" w:type="dxa"/>
            <w:left w:w="108" w:type="dxa"/>
            <w:bottom w:w="0" w:type="dxa"/>
            <w:right w:w="108" w:type="dxa"/>
          </w:tblCellMar>
        </w:tblPrEx>
        <w:trPr>
          <w:trHeight w:val="454" w:hRule="atLeast"/>
        </w:trPr>
        <w:tc>
          <w:tcPr>
            <w:tcW w:w="3496"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合    计</w:t>
            </w:r>
          </w:p>
        </w:tc>
        <w:tc>
          <w:tcPr>
            <w:tcW w:w="150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szCs w:val="21"/>
              </w:rPr>
            </w:pPr>
          </w:p>
        </w:tc>
      </w:tr>
      <w:tr>
        <w:tblPrEx>
          <w:tblCellMar>
            <w:top w:w="0" w:type="dxa"/>
            <w:left w:w="108" w:type="dxa"/>
            <w:bottom w:w="0" w:type="dxa"/>
            <w:right w:w="108" w:type="dxa"/>
          </w:tblCellMar>
        </w:tblPrEx>
        <w:trPr>
          <w:trHeight w:val="454"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其他需要说明的问题：无。</w:t>
            </w:r>
          </w:p>
        </w:tc>
      </w:tr>
    </w:tbl>
    <w:p>
      <w:pPr>
        <w:pStyle w:val="12"/>
        <w:adjustRightInd w:val="0"/>
        <w:snapToGrid w:val="0"/>
        <w:spacing w:line="360" w:lineRule="auto"/>
      </w:pPr>
    </w:p>
    <w:sectPr>
      <w:footerReference r:id="rId3" w:type="default"/>
      <w:pgSz w:w="16838" w:h="11906" w:orient="landscape"/>
      <w:pgMar w:top="1213"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0NjgzNTE1YWM4ZjFmNTM3ZmJmOTk2YWFmMjJmZGMifQ=="/>
  </w:docVars>
  <w:rsids>
    <w:rsidRoot w:val="00AA12FC"/>
    <w:rsid w:val="000146FC"/>
    <w:rsid w:val="00065DC9"/>
    <w:rsid w:val="00126658"/>
    <w:rsid w:val="002D32EC"/>
    <w:rsid w:val="00337293"/>
    <w:rsid w:val="00377FD4"/>
    <w:rsid w:val="00382004"/>
    <w:rsid w:val="003A53BD"/>
    <w:rsid w:val="00417087"/>
    <w:rsid w:val="00432D8D"/>
    <w:rsid w:val="004D3487"/>
    <w:rsid w:val="00591DCF"/>
    <w:rsid w:val="005C3699"/>
    <w:rsid w:val="006771D7"/>
    <w:rsid w:val="007C2E58"/>
    <w:rsid w:val="00826E25"/>
    <w:rsid w:val="00860FB6"/>
    <w:rsid w:val="008D5A8D"/>
    <w:rsid w:val="00920407"/>
    <w:rsid w:val="009533A5"/>
    <w:rsid w:val="00976A60"/>
    <w:rsid w:val="00997C4E"/>
    <w:rsid w:val="009B45B0"/>
    <w:rsid w:val="009C64C3"/>
    <w:rsid w:val="00A02771"/>
    <w:rsid w:val="00A05C51"/>
    <w:rsid w:val="00A16A7F"/>
    <w:rsid w:val="00A27D4D"/>
    <w:rsid w:val="00AA12FC"/>
    <w:rsid w:val="00B24CDD"/>
    <w:rsid w:val="00C57BCF"/>
    <w:rsid w:val="00C64BBC"/>
    <w:rsid w:val="00D5063C"/>
    <w:rsid w:val="00D65102"/>
    <w:rsid w:val="00DE324A"/>
    <w:rsid w:val="00E05B44"/>
    <w:rsid w:val="00E82EC5"/>
    <w:rsid w:val="00EC6E05"/>
    <w:rsid w:val="00F22702"/>
    <w:rsid w:val="00F355CE"/>
    <w:rsid w:val="00FC3932"/>
    <w:rsid w:val="00FF2714"/>
    <w:rsid w:val="01633E9B"/>
    <w:rsid w:val="01A06E9D"/>
    <w:rsid w:val="01DB6127"/>
    <w:rsid w:val="021D759A"/>
    <w:rsid w:val="021F0EF7"/>
    <w:rsid w:val="02877199"/>
    <w:rsid w:val="02AB5AF9"/>
    <w:rsid w:val="031B5E57"/>
    <w:rsid w:val="036E0C82"/>
    <w:rsid w:val="03887AE5"/>
    <w:rsid w:val="03EB0D99"/>
    <w:rsid w:val="03FE6490"/>
    <w:rsid w:val="045F6B9B"/>
    <w:rsid w:val="049802FF"/>
    <w:rsid w:val="05585B63"/>
    <w:rsid w:val="06570D1B"/>
    <w:rsid w:val="06AD62E4"/>
    <w:rsid w:val="06B4436E"/>
    <w:rsid w:val="07C733D5"/>
    <w:rsid w:val="07DF03C8"/>
    <w:rsid w:val="07F04785"/>
    <w:rsid w:val="09136B48"/>
    <w:rsid w:val="092108C3"/>
    <w:rsid w:val="09652C2F"/>
    <w:rsid w:val="09A84966"/>
    <w:rsid w:val="09B434E5"/>
    <w:rsid w:val="0AC81BF9"/>
    <w:rsid w:val="0AD43A34"/>
    <w:rsid w:val="0AFC15E8"/>
    <w:rsid w:val="0B0B61B5"/>
    <w:rsid w:val="0B621790"/>
    <w:rsid w:val="0C083FBC"/>
    <w:rsid w:val="0C2D757F"/>
    <w:rsid w:val="0C67532D"/>
    <w:rsid w:val="0CF925F2"/>
    <w:rsid w:val="0CFF53BF"/>
    <w:rsid w:val="0D1150F2"/>
    <w:rsid w:val="0DA73361"/>
    <w:rsid w:val="0DE93979"/>
    <w:rsid w:val="0E0D1416"/>
    <w:rsid w:val="0E4A6F2B"/>
    <w:rsid w:val="0F40581B"/>
    <w:rsid w:val="0F661726"/>
    <w:rsid w:val="0FC401FA"/>
    <w:rsid w:val="0FF6378D"/>
    <w:rsid w:val="102E0C19"/>
    <w:rsid w:val="103F2731"/>
    <w:rsid w:val="10563548"/>
    <w:rsid w:val="105B0B5E"/>
    <w:rsid w:val="1089696C"/>
    <w:rsid w:val="10B62239"/>
    <w:rsid w:val="11E16BFE"/>
    <w:rsid w:val="127C7A04"/>
    <w:rsid w:val="129B0906"/>
    <w:rsid w:val="133E2072"/>
    <w:rsid w:val="1416626A"/>
    <w:rsid w:val="143376FC"/>
    <w:rsid w:val="14F509BB"/>
    <w:rsid w:val="14F670A8"/>
    <w:rsid w:val="151E215B"/>
    <w:rsid w:val="154A11A2"/>
    <w:rsid w:val="15981F0D"/>
    <w:rsid w:val="15A1439F"/>
    <w:rsid w:val="16ED4B50"/>
    <w:rsid w:val="170D06D9"/>
    <w:rsid w:val="1768590F"/>
    <w:rsid w:val="19EB3EB7"/>
    <w:rsid w:val="1B2619DB"/>
    <w:rsid w:val="1BAA64E1"/>
    <w:rsid w:val="1D6D3C7F"/>
    <w:rsid w:val="1F177C3F"/>
    <w:rsid w:val="1F9000F9"/>
    <w:rsid w:val="206E5295"/>
    <w:rsid w:val="21507B40"/>
    <w:rsid w:val="21B37D32"/>
    <w:rsid w:val="21DC3891"/>
    <w:rsid w:val="2203697F"/>
    <w:rsid w:val="224A27E1"/>
    <w:rsid w:val="22A7640F"/>
    <w:rsid w:val="232A616E"/>
    <w:rsid w:val="237B5360"/>
    <w:rsid w:val="239053A5"/>
    <w:rsid w:val="239857CE"/>
    <w:rsid w:val="23D42165"/>
    <w:rsid w:val="24E52C95"/>
    <w:rsid w:val="24F74EED"/>
    <w:rsid w:val="2612492A"/>
    <w:rsid w:val="2661634B"/>
    <w:rsid w:val="26BB75EE"/>
    <w:rsid w:val="26CB51A1"/>
    <w:rsid w:val="26D32791"/>
    <w:rsid w:val="26DD7510"/>
    <w:rsid w:val="26E11DE1"/>
    <w:rsid w:val="26FB45D4"/>
    <w:rsid w:val="27154C0B"/>
    <w:rsid w:val="272C181C"/>
    <w:rsid w:val="27EB75FF"/>
    <w:rsid w:val="2825503A"/>
    <w:rsid w:val="286B7705"/>
    <w:rsid w:val="291B0A33"/>
    <w:rsid w:val="29576BF1"/>
    <w:rsid w:val="29AC3FBA"/>
    <w:rsid w:val="29CF556C"/>
    <w:rsid w:val="2A3C691F"/>
    <w:rsid w:val="2A610A26"/>
    <w:rsid w:val="2AD86F53"/>
    <w:rsid w:val="2AE80DE9"/>
    <w:rsid w:val="2AEA4B61"/>
    <w:rsid w:val="2B5D4E61"/>
    <w:rsid w:val="2B6A31DA"/>
    <w:rsid w:val="2B911481"/>
    <w:rsid w:val="2BCF3D5F"/>
    <w:rsid w:val="2C1F4AA1"/>
    <w:rsid w:val="2D1B59CD"/>
    <w:rsid w:val="2D7672D9"/>
    <w:rsid w:val="2DA24453"/>
    <w:rsid w:val="2DAD1E76"/>
    <w:rsid w:val="2DC7118A"/>
    <w:rsid w:val="2DD069C6"/>
    <w:rsid w:val="2DF6381D"/>
    <w:rsid w:val="2EA66FF1"/>
    <w:rsid w:val="2EBF65FE"/>
    <w:rsid w:val="2F0361F1"/>
    <w:rsid w:val="2F2047B7"/>
    <w:rsid w:val="2F9649D5"/>
    <w:rsid w:val="2FC37C28"/>
    <w:rsid w:val="2FEA3991"/>
    <w:rsid w:val="2FED6915"/>
    <w:rsid w:val="303E14AB"/>
    <w:rsid w:val="307A2FEC"/>
    <w:rsid w:val="31A1333F"/>
    <w:rsid w:val="31E86FA9"/>
    <w:rsid w:val="32A63577"/>
    <w:rsid w:val="332D7CE1"/>
    <w:rsid w:val="334F0BF9"/>
    <w:rsid w:val="33613E2E"/>
    <w:rsid w:val="337C2A16"/>
    <w:rsid w:val="3390079E"/>
    <w:rsid w:val="33B7367F"/>
    <w:rsid w:val="34E03C35"/>
    <w:rsid w:val="34E82921"/>
    <w:rsid w:val="352B2A20"/>
    <w:rsid w:val="35366BF5"/>
    <w:rsid w:val="365955A0"/>
    <w:rsid w:val="36832467"/>
    <w:rsid w:val="3721284A"/>
    <w:rsid w:val="378F5B9F"/>
    <w:rsid w:val="37E13E67"/>
    <w:rsid w:val="383E670D"/>
    <w:rsid w:val="384A2D55"/>
    <w:rsid w:val="38F736D2"/>
    <w:rsid w:val="39855919"/>
    <w:rsid w:val="39E04B92"/>
    <w:rsid w:val="3ADF13CC"/>
    <w:rsid w:val="3B076D21"/>
    <w:rsid w:val="3B4756B8"/>
    <w:rsid w:val="3B5225C5"/>
    <w:rsid w:val="3B6B3A9C"/>
    <w:rsid w:val="3B982091"/>
    <w:rsid w:val="3C094709"/>
    <w:rsid w:val="3C830972"/>
    <w:rsid w:val="3CE27D8E"/>
    <w:rsid w:val="3D000214"/>
    <w:rsid w:val="3D2E4D81"/>
    <w:rsid w:val="3D9A6CBA"/>
    <w:rsid w:val="3DFB47BB"/>
    <w:rsid w:val="3E0E070F"/>
    <w:rsid w:val="3E4C71C0"/>
    <w:rsid w:val="3E742C68"/>
    <w:rsid w:val="3E795FB4"/>
    <w:rsid w:val="3E7C237E"/>
    <w:rsid w:val="3EA425B8"/>
    <w:rsid w:val="3EA864B3"/>
    <w:rsid w:val="3EB86C06"/>
    <w:rsid w:val="3ED935D4"/>
    <w:rsid w:val="3FA57E6B"/>
    <w:rsid w:val="3FB12ADB"/>
    <w:rsid w:val="3FB157F6"/>
    <w:rsid w:val="3FC376C4"/>
    <w:rsid w:val="3FFB7F60"/>
    <w:rsid w:val="400B7B81"/>
    <w:rsid w:val="405B7646"/>
    <w:rsid w:val="426F745B"/>
    <w:rsid w:val="42B45D29"/>
    <w:rsid w:val="42FC2EFE"/>
    <w:rsid w:val="437A28D1"/>
    <w:rsid w:val="44184095"/>
    <w:rsid w:val="44606530"/>
    <w:rsid w:val="458D2861"/>
    <w:rsid w:val="459C794C"/>
    <w:rsid w:val="46496788"/>
    <w:rsid w:val="469519CD"/>
    <w:rsid w:val="46F02048"/>
    <w:rsid w:val="47215957"/>
    <w:rsid w:val="476475F1"/>
    <w:rsid w:val="476A515A"/>
    <w:rsid w:val="47CE3809"/>
    <w:rsid w:val="47D6229D"/>
    <w:rsid w:val="48607D6F"/>
    <w:rsid w:val="48D93007"/>
    <w:rsid w:val="48DD7A43"/>
    <w:rsid w:val="493C06FE"/>
    <w:rsid w:val="493C25D4"/>
    <w:rsid w:val="496C0E59"/>
    <w:rsid w:val="49BB5BEF"/>
    <w:rsid w:val="4A0071FC"/>
    <w:rsid w:val="4A7E09CA"/>
    <w:rsid w:val="4AE50198"/>
    <w:rsid w:val="4B0E61F2"/>
    <w:rsid w:val="4B54568C"/>
    <w:rsid w:val="4B881658"/>
    <w:rsid w:val="4C455A06"/>
    <w:rsid w:val="4C6D24A4"/>
    <w:rsid w:val="4CA3296A"/>
    <w:rsid w:val="4CDB4936"/>
    <w:rsid w:val="4D64241B"/>
    <w:rsid w:val="4D6D2CD3"/>
    <w:rsid w:val="4DB84B98"/>
    <w:rsid w:val="4EA567DE"/>
    <w:rsid w:val="4EC339EA"/>
    <w:rsid w:val="4F3E697A"/>
    <w:rsid w:val="4F4C6C12"/>
    <w:rsid w:val="4F715079"/>
    <w:rsid w:val="4FBE650E"/>
    <w:rsid w:val="50BD049E"/>
    <w:rsid w:val="51346287"/>
    <w:rsid w:val="51376523"/>
    <w:rsid w:val="51AB6549"/>
    <w:rsid w:val="51CB1BE4"/>
    <w:rsid w:val="521F34DF"/>
    <w:rsid w:val="525E4FF1"/>
    <w:rsid w:val="526B5CD8"/>
    <w:rsid w:val="52F129C8"/>
    <w:rsid w:val="53B86199"/>
    <w:rsid w:val="53DD2AE1"/>
    <w:rsid w:val="53F95B9E"/>
    <w:rsid w:val="540B1BC6"/>
    <w:rsid w:val="54295E4B"/>
    <w:rsid w:val="54B43966"/>
    <w:rsid w:val="54F5082C"/>
    <w:rsid w:val="551553BC"/>
    <w:rsid w:val="56981066"/>
    <w:rsid w:val="56A50F2D"/>
    <w:rsid w:val="56C336A2"/>
    <w:rsid w:val="57193F55"/>
    <w:rsid w:val="575136EE"/>
    <w:rsid w:val="57B71DD8"/>
    <w:rsid w:val="57DB28FB"/>
    <w:rsid w:val="57EA769F"/>
    <w:rsid w:val="581A7F84"/>
    <w:rsid w:val="58B873B1"/>
    <w:rsid w:val="58BE1C44"/>
    <w:rsid w:val="58DE4569"/>
    <w:rsid w:val="59892874"/>
    <w:rsid w:val="599B6285"/>
    <w:rsid w:val="5A6137C8"/>
    <w:rsid w:val="5ABA15AB"/>
    <w:rsid w:val="5AF42587"/>
    <w:rsid w:val="5B2630E4"/>
    <w:rsid w:val="5B6C5798"/>
    <w:rsid w:val="5B6F2F95"/>
    <w:rsid w:val="5BCC1717"/>
    <w:rsid w:val="5C3A0298"/>
    <w:rsid w:val="5C9335E7"/>
    <w:rsid w:val="5CCD7984"/>
    <w:rsid w:val="5CF36FF6"/>
    <w:rsid w:val="5F0C5982"/>
    <w:rsid w:val="5F5C6D24"/>
    <w:rsid w:val="5F7E525C"/>
    <w:rsid w:val="60366EB5"/>
    <w:rsid w:val="607C6CCC"/>
    <w:rsid w:val="60863A07"/>
    <w:rsid w:val="612956DC"/>
    <w:rsid w:val="614147D4"/>
    <w:rsid w:val="61500EBB"/>
    <w:rsid w:val="61894D61"/>
    <w:rsid w:val="618C267C"/>
    <w:rsid w:val="620E0C8F"/>
    <w:rsid w:val="62120923"/>
    <w:rsid w:val="62514EEA"/>
    <w:rsid w:val="62730E1A"/>
    <w:rsid w:val="62747040"/>
    <w:rsid w:val="62E400EF"/>
    <w:rsid w:val="6309501A"/>
    <w:rsid w:val="63870498"/>
    <w:rsid w:val="63F453A4"/>
    <w:rsid w:val="64AF5EF8"/>
    <w:rsid w:val="64BA4F7A"/>
    <w:rsid w:val="64CF544A"/>
    <w:rsid w:val="64E41AB5"/>
    <w:rsid w:val="654A79CF"/>
    <w:rsid w:val="65B8702E"/>
    <w:rsid w:val="660B3602"/>
    <w:rsid w:val="660D77BE"/>
    <w:rsid w:val="667D30C5"/>
    <w:rsid w:val="66C37850"/>
    <w:rsid w:val="67E61C31"/>
    <w:rsid w:val="67E8131A"/>
    <w:rsid w:val="687F2554"/>
    <w:rsid w:val="687F3E33"/>
    <w:rsid w:val="69F745C9"/>
    <w:rsid w:val="69FB573C"/>
    <w:rsid w:val="69FF522C"/>
    <w:rsid w:val="6A441D24"/>
    <w:rsid w:val="6AA701F3"/>
    <w:rsid w:val="6B0856EE"/>
    <w:rsid w:val="6B26558D"/>
    <w:rsid w:val="6B607F4C"/>
    <w:rsid w:val="6B737C7F"/>
    <w:rsid w:val="6B792DBC"/>
    <w:rsid w:val="6C305B70"/>
    <w:rsid w:val="6CE12D7F"/>
    <w:rsid w:val="6DF854F8"/>
    <w:rsid w:val="6EF03395"/>
    <w:rsid w:val="6FCE244D"/>
    <w:rsid w:val="6FE30ABF"/>
    <w:rsid w:val="703A5210"/>
    <w:rsid w:val="70412B7D"/>
    <w:rsid w:val="70671D7D"/>
    <w:rsid w:val="70F51137"/>
    <w:rsid w:val="710650F2"/>
    <w:rsid w:val="71754B7A"/>
    <w:rsid w:val="71950224"/>
    <w:rsid w:val="721675B7"/>
    <w:rsid w:val="727442DD"/>
    <w:rsid w:val="728704B4"/>
    <w:rsid w:val="73C15DD8"/>
    <w:rsid w:val="74360F5A"/>
    <w:rsid w:val="74815576"/>
    <w:rsid w:val="75581C94"/>
    <w:rsid w:val="75D007E0"/>
    <w:rsid w:val="75D054FF"/>
    <w:rsid w:val="762A56E9"/>
    <w:rsid w:val="76320E46"/>
    <w:rsid w:val="76E75AA9"/>
    <w:rsid w:val="76EC08E6"/>
    <w:rsid w:val="770F2951"/>
    <w:rsid w:val="77715E6F"/>
    <w:rsid w:val="780B4DAC"/>
    <w:rsid w:val="78197E01"/>
    <w:rsid w:val="78F30652"/>
    <w:rsid w:val="7904460D"/>
    <w:rsid w:val="7988315C"/>
    <w:rsid w:val="79FD2E0A"/>
    <w:rsid w:val="7A5451A9"/>
    <w:rsid w:val="7A8552D9"/>
    <w:rsid w:val="7ABC15A8"/>
    <w:rsid w:val="7AE25FB3"/>
    <w:rsid w:val="7AF97A75"/>
    <w:rsid w:val="7B5F5B2A"/>
    <w:rsid w:val="7B855E28"/>
    <w:rsid w:val="7BB87930"/>
    <w:rsid w:val="7BC57958"/>
    <w:rsid w:val="7C4C164C"/>
    <w:rsid w:val="7C532A30"/>
    <w:rsid w:val="7CAA1729"/>
    <w:rsid w:val="7CF6161C"/>
    <w:rsid w:val="7E3A63DB"/>
    <w:rsid w:val="7E461224"/>
    <w:rsid w:val="7E5B702C"/>
    <w:rsid w:val="7E7307B3"/>
    <w:rsid w:val="7E753011"/>
    <w:rsid w:val="7FCB2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unhideWhenUsed/>
    <w:qFormat/>
    <w:uiPriority w:val="0"/>
    <w:pPr>
      <w:keepNext/>
      <w:keepLines/>
      <w:spacing w:before="20" w:after="20" w:line="413" w:lineRule="auto"/>
      <w:ind w:left="400" w:leftChars="400"/>
      <w:outlineLvl w:val="1"/>
    </w:pPr>
    <w:rPr>
      <w:rFonts w:ascii="Arial" w:hAnsi="Arial" w:eastAsia="楷体_GB2312"/>
      <w:b/>
      <w:sz w:val="32"/>
    </w:rPr>
  </w:style>
  <w:style w:type="paragraph" w:styleId="2">
    <w:name w:val="heading 6"/>
    <w:basedOn w:val="1"/>
    <w:next w:val="1"/>
    <w:unhideWhenUsed/>
    <w:qFormat/>
    <w:uiPriority w:val="9"/>
    <w:pPr>
      <w:keepNext/>
      <w:keepLines/>
      <w:spacing w:line="360" w:lineRule="auto"/>
      <w:outlineLvl w:val="5"/>
    </w:pPr>
    <w:rPr>
      <w:rFonts w:ascii="Cambria" w:hAnsi="Cambria"/>
      <w:bCs/>
      <w:sz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1"/>
    <w:qFormat/>
    <w:uiPriority w:val="0"/>
    <w:rPr>
      <w:rFonts w:ascii="Calibri" w:hAnsi="Calibri" w:eastAsia="宋体" w:cs="Times New Roman"/>
    </w:rPr>
  </w:style>
  <w:style w:type="paragraph" w:styleId="7">
    <w:name w:val="Body Text Indent 2"/>
    <w:basedOn w:val="1"/>
    <w:next w:val="6"/>
    <w:qFormat/>
    <w:uiPriority w:val="0"/>
    <w:pPr>
      <w:spacing w:after="120" w:line="480" w:lineRule="auto"/>
      <w:ind w:left="200" w:leftChars="200"/>
    </w:pPr>
    <w:rPr>
      <w:rFonts w:ascii="Times New Roman" w:eastAsia="等线" w:cs="Times New Roman"/>
      <w:szCs w:val="22"/>
    </w:rPr>
  </w:style>
  <w:style w:type="paragraph" w:styleId="8">
    <w:name w:val="Balloon Text"/>
    <w:basedOn w:val="1"/>
    <w:link w:val="26"/>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next w:val="1"/>
    <w:qFormat/>
    <w:uiPriority w:val="0"/>
    <w:pPr>
      <w:pBdr>
        <w:top w:val="none" w:color="auto" w:sz="0" w:space="1"/>
        <w:left w:val="none" w:color="auto" w:sz="0" w:space="4"/>
        <w:bottom w:val="none" w:color="auto" w:sz="0" w:space="1"/>
        <w:right w:val="none" w:color="auto" w:sz="0" w:space="4"/>
      </w:pBdr>
      <w:snapToGrid w:val="0"/>
    </w:pPr>
    <w:rPr>
      <w:sz w:val="18"/>
    </w:rPr>
  </w:style>
  <w:style w:type="paragraph" w:styleId="11">
    <w:name w:val="toc 1"/>
    <w:basedOn w:val="1"/>
    <w:next w:val="1"/>
    <w:qFormat/>
    <w:uiPriority w:val="0"/>
  </w:style>
  <w:style w:type="paragraph" w:styleId="12">
    <w:name w:val="index 9"/>
    <w:basedOn w:val="1"/>
    <w:next w:val="1"/>
    <w:qFormat/>
    <w:uiPriority w:val="0"/>
    <w:pPr>
      <w:ind w:left="3360"/>
    </w:pPr>
    <w:rPr>
      <w:rFonts w:ascii="Times New Roman" w:hAnsi="Times New Roman"/>
    </w:rPr>
  </w:style>
  <w:style w:type="paragraph" w:styleId="13">
    <w:name w:val="toc 2"/>
    <w:basedOn w:val="1"/>
    <w:next w:val="1"/>
    <w:qFormat/>
    <w:uiPriority w:val="0"/>
    <w:pPr>
      <w:ind w:left="420" w:leftChars="200"/>
    </w:pPr>
  </w:style>
  <w:style w:type="paragraph" w:styleId="14">
    <w:name w:val="Normal (Web)"/>
    <w:basedOn w:val="1"/>
    <w:qFormat/>
    <w:uiPriority w:val="0"/>
    <w:pPr>
      <w:spacing w:beforeAutospacing="1" w:afterAutospacing="1"/>
      <w:jc w:val="left"/>
    </w:pPr>
    <w:rPr>
      <w:rFonts w:cs="Times New Roman"/>
      <w:kern w:val="0"/>
      <w:sz w:val="24"/>
    </w:rPr>
  </w:style>
  <w:style w:type="character" w:styleId="17">
    <w:name w:val="Hyperlink"/>
    <w:basedOn w:val="16"/>
    <w:qFormat/>
    <w:uiPriority w:val="0"/>
    <w:rPr>
      <w:color w:val="0000FF"/>
      <w:u w:val="single"/>
    </w:rPr>
  </w:style>
  <w:style w:type="paragraph" w:customStyle="1" w:styleId="18">
    <w:name w:val="样式1"/>
    <w:basedOn w:val="10"/>
    <w:next w:val="12"/>
    <w:qFormat/>
    <w:uiPriority w:val="0"/>
    <w:rPr>
      <w:rFonts w:eastAsia="仿宋_GB2312"/>
      <w:sz w:val="32"/>
    </w:rPr>
  </w:style>
  <w:style w:type="character" w:customStyle="1" w:styleId="19">
    <w:name w:val="font21"/>
    <w:basedOn w:val="16"/>
    <w:qFormat/>
    <w:uiPriority w:val="0"/>
    <w:rPr>
      <w:rFonts w:hint="eastAsia" w:ascii="宋体" w:hAnsi="宋体" w:eastAsia="宋体" w:cs="宋体"/>
      <w:b/>
      <w:bCs/>
      <w:color w:val="000000"/>
      <w:sz w:val="40"/>
      <w:szCs w:val="40"/>
      <w:u w:val="none"/>
    </w:rPr>
  </w:style>
  <w:style w:type="character" w:customStyle="1" w:styleId="20">
    <w:name w:val="font51"/>
    <w:basedOn w:val="16"/>
    <w:qFormat/>
    <w:uiPriority w:val="0"/>
    <w:rPr>
      <w:rFonts w:hint="eastAsia" w:ascii="宋体" w:hAnsi="宋体" w:eastAsia="宋体" w:cs="宋体"/>
      <w:b/>
      <w:bCs/>
      <w:color w:val="000000"/>
      <w:sz w:val="40"/>
      <w:szCs w:val="40"/>
      <w:u w:val="single"/>
    </w:rPr>
  </w:style>
  <w:style w:type="paragraph" w:customStyle="1" w:styleId="21">
    <w:name w:val="WPSOffice手动目录 1"/>
    <w:qFormat/>
    <w:uiPriority w:val="0"/>
    <w:rPr>
      <w:rFonts w:ascii="Times New Roman" w:hAnsi="Times New Roman" w:eastAsia="宋体" w:cs="Times New Roman"/>
      <w:lang w:val="en-US" w:eastAsia="zh-CN" w:bidi="ar-SA"/>
    </w:rPr>
  </w:style>
  <w:style w:type="paragraph" w:customStyle="1" w:styleId="22">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3">
    <w:name w:val="font41"/>
    <w:basedOn w:val="16"/>
    <w:qFormat/>
    <w:uiPriority w:val="0"/>
    <w:rPr>
      <w:rFonts w:hint="eastAsia" w:ascii="宋体" w:hAnsi="宋体" w:eastAsia="宋体" w:cs="宋体"/>
      <w:color w:val="000000"/>
      <w:sz w:val="18"/>
      <w:szCs w:val="18"/>
      <w:u w:val="none"/>
    </w:rPr>
  </w:style>
  <w:style w:type="character" w:customStyle="1" w:styleId="24">
    <w:name w:val="font61"/>
    <w:basedOn w:val="16"/>
    <w:qFormat/>
    <w:uiPriority w:val="0"/>
    <w:rPr>
      <w:rFonts w:hint="eastAsia" w:ascii="宋体" w:hAnsi="宋体" w:eastAsia="宋体" w:cs="宋体"/>
      <w:color w:val="FF0000"/>
      <w:sz w:val="18"/>
      <w:szCs w:val="18"/>
      <w:u w:val="none"/>
    </w:rPr>
  </w:style>
  <w:style w:type="character" w:customStyle="1" w:styleId="25">
    <w:name w:val="font11"/>
    <w:basedOn w:val="16"/>
    <w:qFormat/>
    <w:uiPriority w:val="0"/>
    <w:rPr>
      <w:rFonts w:hint="eastAsia" w:ascii="宋体" w:hAnsi="宋体" w:eastAsia="宋体" w:cs="宋体"/>
      <w:b/>
      <w:bCs/>
      <w:color w:val="000000"/>
      <w:sz w:val="32"/>
      <w:szCs w:val="32"/>
      <w:u w:val="none"/>
    </w:rPr>
  </w:style>
  <w:style w:type="character" w:customStyle="1" w:styleId="26">
    <w:name w:val="批注框文本 Char"/>
    <w:basedOn w:val="16"/>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2577</Words>
  <Characters>2664</Characters>
  <Lines>16</Lines>
  <Paragraphs>4</Paragraphs>
  <TotalTime>1</TotalTime>
  <ScaleCrop>false</ScaleCrop>
  <LinksUpToDate>false</LinksUpToDate>
  <CharactersWithSpaces>2688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2023-06-05T11:51:00Z</dcterms:created>
  <dc:creator>Administrator</dc:creator>
  <cp:lastModifiedBy>暮水</cp:lastModifiedBy>
  <cp:lastPrinted>2023-06-07T02:11:00Z</cp:lastPrinted>
  <dcterms:modified xsi:type="dcterms:W3CDTF">2023-06-20T08:57:52Z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9779EA53983449DE8C7F27D604C17C65_13</vt:lpwstr>
  </property>
</Properties>
</file>