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人民医院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eastAsia="zh-CN"/>
        </w:rPr>
        <w:t>提高全县医疗服务水平，保障患者就医需求，为患者打造高质量就医环境。</w:t>
      </w:r>
      <w:bookmarkStart w:id="0" w:name="_GoBack"/>
      <w:bookmarkEnd w:id="0"/>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我单位为正科级建制事业单位，现共有一个独立核算机构，2021年无增减及变动。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22481.48</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23481.48</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-2640.20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-10.51</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-754.88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-3.11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财政拨款收入减少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3248.95</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962.51</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-4364.46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50.89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财政拨款收入减少。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23481.48</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2248.95</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2000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-2773.09</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-39.49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政府性基金减少。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3248.95</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-4773.09</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-59.50</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抗疫国债项目减少。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2248.95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-3889.09</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抗疫特别国债项目减少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2248.95</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1739.83</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-36.00</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在编人员减少</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无公用经费拨款</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无</w:t>
      </w:r>
      <w:r>
        <w:rPr>
          <w:rFonts w:hint="eastAsia" w:ascii="仿宋_GB2312" w:hAnsi="仿宋_GB2312" w:eastAsia="仿宋_GB2312" w:cs="仿宋_GB2312"/>
          <w:sz w:val="32"/>
          <w:szCs w:val="32"/>
          <w:shd w:val="clear" w:color="auto" w:fill="FFFFFF"/>
        </w:rPr>
        <w:t>“三公”经费</w:t>
      </w:r>
      <w:r>
        <w:rPr>
          <w:rFonts w:hint="eastAsia" w:ascii="仿宋_GB2312" w:hAnsi="仿宋_GB2312" w:eastAsia="仿宋_GB2312" w:cs="仿宋_GB2312"/>
          <w:sz w:val="32"/>
          <w:szCs w:val="32"/>
          <w:shd w:val="clear" w:color="auto" w:fill="FFFFFF"/>
          <w:lang w:eastAsia="zh-CN"/>
        </w:rPr>
        <w:t>拨款</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财政未拨</w:t>
      </w:r>
      <w:r>
        <w:rPr>
          <w:rFonts w:hint="eastAsia" w:ascii="仿宋_GB2312" w:hAnsi="仿宋_GB2312" w:eastAsia="仿宋_GB2312" w:cs="仿宋_GB2312"/>
          <w:sz w:val="32"/>
          <w:szCs w:val="32"/>
          <w:shd w:val="clear" w:color="auto" w:fill="FFFFFF"/>
        </w:rPr>
        <w:t>“三公”经费；</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财政未拨</w:t>
      </w:r>
      <w:r>
        <w:rPr>
          <w:rFonts w:hint="eastAsia" w:ascii="仿宋_GB2312" w:hAnsi="仿宋_GB2312" w:eastAsia="仿宋_GB2312" w:cs="仿宋_GB2312"/>
          <w:sz w:val="32"/>
          <w:szCs w:val="32"/>
          <w:shd w:val="clear" w:color="auto" w:fill="FFFFFF"/>
        </w:rPr>
        <w:t>“三公”经费，</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财政未拨</w:t>
      </w:r>
      <w:r>
        <w:rPr>
          <w:rFonts w:hint="eastAsia" w:ascii="仿宋_GB2312" w:hAnsi="仿宋_GB2312" w:eastAsia="仿宋_GB2312" w:cs="仿宋_GB2312"/>
          <w:sz w:val="32"/>
          <w:szCs w:val="32"/>
          <w:shd w:val="clear" w:color="auto" w:fill="FFFFFF"/>
        </w:rPr>
        <w:t>“三公”经费</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eastAsia="zh-CN"/>
        </w:rPr>
        <w:t>本单位属事业单位。</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2316.86</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1562.10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614.76</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140.00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17</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17</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34</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78" w:lineRule="exact"/>
        <w:ind w:firstLine="640" w:firstLineChars="200"/>
        <w:jc w:val="both"/>
        <w:textAlignment w:val="auto"/>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年初抗疫特别国债项目资金</w:t>
      </w:r>
      <w:r>
        <w:rPr>
          <w:rFonts w:hint="eastAsia" w:ascii="仿宋_GB2312" w:hAnsi="仿宋_GB2312" w:eastAsia="仿宋_GB2312" w:cs="仿宋_GB2312"/>
          <w:sz w:val="32"/>
          <w:szCs w:val="32"/>
          <w:shd w:val="clear" w:color="auto" w:fill="FFFFFF"/>
          <w:lang w:val="en-US" w:eastAsia="zh-CN"/>
        </w:rPr>
        <w:t>1000万元，本年预算收入1000万元，本年预算支出2000万元。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本单位未委托第三方机构</w:t>
      </w:r>
      <w:r>
        <w:rPr>
          <w:rFonts w:hint="eastAsia" w:ascii="仿宋_GB2312" w:hAnsi="仿宋_GB2312" w:eastAsia="仿宋_GB2312" w:cs="仿宋_GB2312"/>
          <w:sz w:val="32"/>
          <w:szCs w:val="32"/>
          <w:shd w:val="clear" w:color="auto" w:fill="FFFFFF"/>
        </w:rPr>
        <w:t>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k1MjhmOGQ1MDgxOTZmMThlYmYzZGMzYzAwOWVlYzE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B542B6D"/>
    <w:rsid w:val="1C704C27"/>
    <w:rsid w:val="25137802"/>
    <w:rsid w:val="36B64491"/>
    <w:rsid w:val="4C941211"/>
    <w:rsid w:val="4DCB3F96"/>
    <w:rsid w:val="62DB0C58"/>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3346</Words>
  <Characters>3704</Characters>
  <Lines>27</Lines>
  <Paragraphs>7</Paragraphs>
  <TotalTime>3</TotalTime>
  <ScaleCrop>false</ScaleCrop>
  <LinksUpToDate>false</LinksUpToDate>
  <CharactersWithSpaces>3796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2023-06-08T08:09:35Z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