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杨崖集镇卫生院</w:t>
      </w:r>
      <w:r>
        <w:rPr>
          <w:rFonts w:hint="eastAsia" w:ascii="方正小标宋简体" w:hAnsi="方正小标宋简体" w:eastAsia="方正小标宋简体" w:cs="方正小标宋简体"/>
          <w:kern w:val="0"/>
          <w:sz w:val="44"/>
          <w:szCs w:val="44"/>
          <w:shd w:val="clear" w:color="auto" w:fill="FFFFFF"/>
        </w:rPr>
        <w:t>2021年部门决算公开说明</w:t>
      </w:r>
      <w:bookmarkStart w:id="0" w:name="_GoBack"/>
      <w:bookmarkEnd w:id="0"/>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color="auto" w:fill="FFFFFF"/>
          <w:lang w:eastAsia="zh-CN"/>
        </w:rPr>
        <w:t>（一）</w:t>
      </w:r>
      <w:r>
        <w:rPr>
          <w:rStyle w:val="11"/>
          <w:rFonts w:hint="eastAsia" w:ascii="仿宋_GB2312" w:hAnsi="仿宋_GB2312" w:eastAsia="仿宋_GB2312" w:cs="仿宋_GB2312"/>
          <w:sz w:val="32"/>
          <w:szCs w:val="32"/>
          <w:lang w:eastAsia="zh-CN"/>
        </w:rPr>
        <w:t>提供基本公共卫生服务</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1、建立居民健康档案。</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2、执行国家免疫规划，进行预防接种服务。</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3、开展新生儿访视及儿童保健，进行体格检查和生长发育监测及评价，开展健康指导。</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4、开展孕产妇保健系统管理和产后访视，进行一般体格检查及孕期营养、心理等健康指导。</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5、对辖区65岁及以上老年人进行登记管理，进行健康危险因素调查和一般体格检查，开展健康指导。</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6、及时发现、登记并报告辖区内发现的传染病病例和疑似病例，参与现场疫情处理。</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7、对高血压、糖尿病等慢性病高危人群进行指导，对确诊高血压、糖尿病等慢性病病例进行登记管理、定期随访和健康指导。</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8、对辖区重型精神疾病患者进行登记管理、治疗随访和康复指导。</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9、协助处理辖区内突发公共卫生事件。</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10、接受县级行政部门委托，对辖区内传染病防治及卫生监督工作履行相应的监督职能，对村级预防保健工作进行指导、培训、考核与监督。</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11、普及卫生保健常识，实施重点人群及重点场所健康教育，帮助居民形成有利于维护和增进健康的行为方式；指导开展爱国卫生工作。</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12、卫生行政部门规定的其他公共卫生服务。</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（二）提供基本医疗服务</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1、使用中医适宜技术，正确处理常见病、多发病，对疑难杂症进行恰当的处理及转诊。</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2、开展院前急救，对急诊病例应诊、出诊、抢救并进行初诊断和组织转诊。</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3、开展血、尿、便常规及简单生化检验、拍片、心电、超声检查等。</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4、认真执行国家基本药物制度，执行药品集中采购和统一配送政策，实行药品零差率销售。</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5、卫生行政部门批准的其他适宜的医疗服务。</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（三）履行指导服务职能</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1、严格执行城乡居民医保政策规定，履行定点医疗机构职责，做好有关政策宣传、监督及服务工作。</w:t>
      </w:r>
    </w:p>
    <w:p>
      <w:pPr>
        <w:pStyle w:val="5"/>
        <w:shd w:val="clear" w:color="auto" w:fill="FFFFFF"/>
        <w:spacing w:beforeAutospacing="0" w:afterAutospacing="0" w:line="578" w:lineRule="exact"/>
        <w:ind w:firstLine="640"/>
        <w:rPr>
          <w:rStyle w:val="11"/>
          <w:rFonts w:hint="eastAsia"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2、深入推进乡村一体化管理，负责村卫生工作站的技术指导，对村卫生工作站实行以“五统一”为基本内容的规范管理。</w:t>
      </w:r>
    </w:p>
    <w:p>
      <w:pPr>
        <w:pStyle w:val="5"/>
        <w:shd w:val="clear" w:color="auto" w:fill="FFFFFF"/>
        <w:spacing w:beforeAutospacing="0" w:afterAutospacing="0" w:line="578" w:lineRule="exact"/>
        <w:ind w:firstLine="640"/>
        <w:rPr>
          <w:rStyle w:val="11"/>
          <w:rFonts w:hint="default" w:ascii="仿宋_GB2312" w:hAnsi="仿宋_GB2312" w:eastAsia="仿宋_GB2312" w:cs="仿宋_GB2312"/>
          <w:sz w:val="32"/>
          <w:szCs w:val="32"/>
          <w:lang w:val="en-US" w:eastAsia="zh-CN"/>
        </w:rPr>
      </w:pPr>
      <w:r>
        <w:rPr>
          <w:rStyle w:val="11"/>
          <w:rFonts w:hint="eastAsia" w:ascii="仿宋_GB2312" w:hAnsi="仿宋_GB2312" w:eastAsia="仿宋_GB2312" w:cs="仿宋_GB2312"/>
          <w:sz w:val="32"/>
          <w:szCs w:val="32"/>
          <w:lang w:val="en-US" w:eastAsia="zh-CN"/>
        </w:rPr>
        <w:t>3、卫生行政部门赋予的其他职能。</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我单位现共有一个独立核算机构</w:t>
      </w:r>
      <w:r>
        <w:rPr>
          <w:rFonts w:hint="eastAsia" w:ascii="仿宋_GB2312" w:hAnsi="仿宋_GB2312" w:eastAsia="仿宋_GB2312" w:cs="仿宋_GB2312"/>
          <w:sz w:val="32"/>
          <w:szCs w:val="32"/>
          <w:shd w:val="clear" w:color="auto" w:fill="FFFFFF"/>
          <w:lang w:eastAsia="zh-CN"/>
        </w:rPr>
        <w:t>的事业单位，</w:t>
      </w:r>
      <w:r>
        <w:rPr>
          <w:rFonts w:hint="eastAsia" w:ascii="仿宋_GB2312" w:hAnsi="仿宋_GB2312" w:eastAsia="仿宋_GB2312" w:cs="仿宋_GB2312"/>
          <w:sz w:val="32"/>
          <w:szCs w:val="32"/>
          <w:shd w:val="clear" w:color="auto" w:fill="FFFFFF"/>
        </w:rPr>
        <w:t>2021年无增减及变动。</w:t>
      </w:r>
      <w:r>
        <w:rPr>
          <w:rFonts w:hint="eastAsia" w:ascii="仿宋_GB2312" w:hAnsi="仿宋_GB2312" w:eastAsia="仿宋_GB2312" w:cs="仿宋_GB2312"/>
          <w:sz w:val="32"/>
          <w:szCs w:val="32"/>
          <w:shd w:val="clear" w:color="auto" w:fill="FFFFFF"/>
          <w:lang w:eastAsia="zh-CN"/>
        </w:rPr>
        <w:t>组织机构设置由</w:t>
      </w:r>
      <w:r>
        <w:rPr>
          <w:rFonts w:hint="eastAsia" w:ascii="仿宋_GB2312" w:hAnsi="仿宋_GB2312" w:eastAsia="仿宋_GB2312" w:cs="仿宋_GB2312"/>
          <w:sz w:val="32"/>
          <w:szCs w:val="32"/>
          <w:shd w:val="clear" w:color="auto" w:fill="FFFFFF"/>
          <w:lang w:val="en-US" w:eastAsia="zh-CN"/>
        </w:rPr>
        <w:t>1名院长和2名副院长组成。科室设置有临床科室和职能科室，其中临床科室设有外科、内科、妇产科、五官科、康复科、中医科、全科、护士站、“120”急救、B超室、放射室、药剂科、检验室、心电图室、手术室、胸痛单元等；职能科室设有办公室、财务室、医保办、公共卫生科等。</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389.06</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412.16</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16.38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4.21</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10.22</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2.47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国家基本公共卫生服务补助资金增加，增加部分用于新冠疫情防控。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304.91</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事业</w:t>
      </w:r>
      <w:r>
        <w:rPr>
          <w:rFonts w:hint="eastAsia" w:ascii="仿宋_GB2312" w:hAnsi="仿宋_GB2312" w:eastAsia="仿宋_GB2312" w:cs="仿宋_GB2312"/>
          <w:sz w:val="32"/>
          <w:szCs w:val="32"/>
          <w:shd w:val="clear" w:color="auto" w:fill="FFFFFF"/>
        </w:rPr>
        <w:t>收入</w:t>
      </w:r>
      <w:r>
        <w:rPr>
          <w:rFonts w:hint="eastAsia" w:ascii="仿宋_GB2312" w:hAnsi="仿宋_GB2312" w:eastAsia="仿宋_GB2312" w:cs="仿宋_GB2312"/>
          <w:sz w:val="32"/>
          <w:szCs w:val="32"/>
          <w:shd w:val="clear" w:color="auto" w:fill="FFFFFF"/>
          <w:lang w:val="en-US" w:eastAsia="zh-CN"/>
        </w:rPr>
        <w:t>84.15</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16.38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4.21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家基本公共卫生服务补助资金增加，增加部分用于新冠疫情防控。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412.16</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304.91</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其他资金支出</w:t>
      </w:r>
      <w:r>
        <w:rPr>
          <w:rFonts w:hint="eastAsia" w:ascii="仿宋_GB2312" w:hAnsi="仿宋_GB2312" w:eastAsia="仿宋_GB2312" w:cs="仿宋_GB2312"/>
          <w:sz w:val="32"/>
          <w:szCs w:val="32"/>
          <w:shd w:val="clear" w:color="auto" w:fill="FFFFFF"/>
          <w:lang w:val="en-US" w:eastAsia="zh-CN"/>
        </w:rPr>
        <w:t>107.25</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10.22</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2.47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国家基本公共卫生服务补助资金增加，增加部分用于新冠疫情防控。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304.91</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58.29</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19.11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国家基本公共卫生服务补助资金增加，增加部分用于新冠疫情防控。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304.91</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58.29</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国家基本公共卫生服务补助资金增加，增加部分用于新冠疫情防控。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304.91</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147.80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8.99</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人员增资</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157.11</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8.17</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国家基本公共卫生服务补助资金增加，增加部分用于新冠疫情防控</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1.93</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1.93</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用于新冠疫情防控</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公务用车运行</w:t>
      </w:r>
      <w:r>
        <w:rPr>
          <w:rFonts w:hint="eastAsia" w:ascii="仿宋_GB2312" w:hAnsi="仿宋_GB2312" w:eastAsia="仿宋_GB2312" w:cs="仿宋_GB2312"/>
          <w:b/>
          <w:sz w:val="32"/>
          <w:szCs w:val="32"/>
          <w:shd w:val="clear" w:color="auto" w:fill="FFFFFF"/>
          <w:lang w:eastAsia="zh-CN"/>
        </w:rPr>
        <w:t>燃油费</w:t>
      </w:r>
      <w:r>
        <w:rPr>
          <w:rFonts w:hint="eastAsia" w:ascii="仿宋_GB2312" w:hAnsi="仿宋_GB2312" w:eastAsia="仿宋_GB2312" w:cs="仿宋_GB2312"/>
          <w:sz w:val="32"/>
          <w:szCs w:val="32"/>
          <w:shd w:val="clear" w:color="auto" w:fill="FFFFFF"/>
          <w:lang w:val="en-US" w:eastAsia="zh-CN"/>
        </w:rPr>
        <w:t>1.93</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1.93</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用于新冠疫情防控。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157.11</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8.17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5.20</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eastAsia="zh-CN"/>
        </w:rPr>
        <w:t>新冠疫情防控支出。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辆，其中：其他用车</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w:t>
      </w:r>
      <w:r>
        <w:rPr>
          <w:rFonts w:hint="eastAsia" w:ascii="仿宋_GB2312" w:hAnsi="仿宋_GB2312" w:eastAsia="仿宋_GB2312" w:cs="仿宋_GB2312"/>
          <w:sz w:val="32"/>
          <w:szCs w:val="32"/>
          <w:shd w:val="clear" w:color="auto" w:fill="FFFFFF"/>
          <w:lang w:eastAsia="zh-CN"/>
        </w:rPr>
        <w:t>（救护车）。</w:t>
      </w:r>
      <w:r>
        <w:rPr>
          <w:rFonts w:hint="eastAsia" w:ascii="仿宋_GB2312" w:hAnsi="仿宋_GB2312" w:eastAsia="仿宋_GB2312" w:cs="仿宋_GB2312"/>
          <w:sz w:val="32"/>
          <w:szCs w:val="32"/>
          <w:shd w:val="clear" w:color="auto" w:fill="FFFFFF"/>
        </w:rPr>
        <w:t>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i w:val="0"/>
          <w:iCs w:val="0"/>
          <w:caps w:val="0"/>
          <w:color w:val="111111"/>
          <w:spacing w:val="0"/>
          <w:sz w:val="32"/>
          <w:szCs w:val="32"/>
          <w:shd w:val="clear" w:fill="FFFFFF"/>
        </w:rPr>
        <w:t>我单位严格按照年初预算进行部门整体支出，在支出过程中，能够严格遵守各项财务制度。</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VlZTc5MDU2YWM2ODg4NWEyNWEwN2VhZjZlMjMxY2Y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9BC683E"/>
    <w:rsid w:val="0D7F205C"/>
    <w:rsid w:val="10727C56"/>
    <w:rsid w:val="184A3267"/>
    <w:rsid w:val="1B542B6D"/>
    <w:rsid w:val="1C9A47BD"/>
    <w:rsid w:val="234A05BF"/>
    <w:rsid w:val="236E69A3"/>
    <w:rsid w:val="238C0BD7"/>
    <w:rsid w:val="25137802"/>
    <w:rsid w:val="26B4291F"/>
    <w:rsid w:val="28277120"/>
    <w:rsid w:val="2D60735C"/>
    <w:rsid w:val="2E642E7C"/>
    <w:rsid w:val="32472899"/>
    <w:rsid w:val="3355548A"/>
    <w:rsid w:val="36B64491"/>
    <w:rsid w:val="38D94467"/>
    <w:rsid w:val="3C860462"/>
    <w:rsid w:val="40721429"/>
    <w:rsid w:val="41EE2D31"/>
    <w:rsid w:val="45140D01"/>
    <w:rsid w:val="468C48C7"/>
    <w:rsid w:val="494B2817"/>
    <w:rsid w:val="4BC30D8B"/>
    <w:rsid w:val="4BE34F89"/>
    <w:rsid w:val="4C941211"/>
    <w:rsid w:val="4DCB3F96"/>
    <w:rsid w:val="4FA17635"/>
    <w:rsid w:val="526F3A1A"/>
    <w:rsid w:val="534053B7"/>
    <w:rsid w:val="57877110"/>
    <w:rsid w:val="57CC0FC7"/>
    <w:rsid w:val="5E63473E"/>
    <w:rsid w:val="5FA90812"/>
    <w:rsid w:val="62DB0C58"/>
    <w:rsid w:val="66DD4F9F"/>
    <w:rsid w:val="6707201B"/>
    <w:rsid w:val="6B52582F"/>
    <w:rsid w:val="771A36A5"/>
    <w:rsid w:val="7AE04C06"/>
    <w:rsid w:val="7CA341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character" w:customStyle="1" w:styleId="11">
    <w:name w:val="23"/>
    <w:basedOn w:val="7"/>
    <w:qFormat/>
    <w:uiPriority w:val="0"/>
    <w:rPr>
      <w:rFonts w:hint="eastAsia" w:ascii="Times New Roman" w:eastAsia="楷体_GB2312" w:cs="楷体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4252</Words>
  <Characters>4469</Characters>
  <Lines>27</Lines>
  <Paragraphs>7</Paragraphs>
  <TotalTime>25</TotalTime>
  <ScaleCrop>false</ScaleCrop>
  <LinksUpToDate>false</LinksUpToDate>
  <CharactersWithSpaces>4557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夏伤</cp:lastModifiedBy>
  <cp:lastPrinted>2023-06-01T08:29:00Z</cp:lastPrinted>
  <dcterms:modified xsi:type="dcterms:W3CDTF">2023-06-07T03:10:14Z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