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汉家岔镇卫生院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贯彻执行党的卫生工作方针政策，负责本乡镇的卫生工作法律、法规、政策的贯彻，卫生事业发展规划和工作计划的制定，社会公共卫生工作的组织和实施；负责本乡镇的基本医疗服务；负责本乡镇突发公共卫生事件的报告，并依据上级部门要求组织实施处置。</w:t>
      </w:r>
    </w:p>
    <w:p>
      <w:pPr>
        <w:pStyle w:val="5"/>
        <w:shd w:val="clear" w:color="auto" w:fill="FFFFFF"/>
        <w:spacing w:beforeAutospacing="0" w:afterAutospacing="0" w:line="578" w:lineRule="exact"/>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317.11</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317.11</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3.65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降低</w:t>
      </w:r>
      <w:r>
        <w:rPr>
          <w:rFonts w:hint="eastAsia" w:ascii="仿宋_GB2312" w:hAnsi="仿宋_GB2312" w:eastAsia="仿宋_GB2312" w:cs="仿宋_GB2312"/>
          <w:sz w:val="32"/>
          <w:szCs w:val="32"/>
          <w:shd w:val="clear" w:color="auto" w:fill="FFFFFF"/>
          <w:lang w:val="en-US" w:eastAsia="zh-CN"/>
        </w:rPr>
        <w:t>1.13</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32.61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降低</w:t>
      </w:r>
      <w:r>
        <w:rPr>
          <w:rFonts w:hint="eastAsia" w:ascii="仿宋_GB2312" w:hAnsi="仿宋_GB2312" w:eastAsia="仿宋_GB2312" w:cs="仿宋_GB2312"/>
          <w:sz w:val="32"/>
          <w:szCs w:val="32"/>
          <w:shd w:val="clear" w:color="auto" w:fill="FFFFFF"/>
          <w:lang w:val="en-US" w:eastAsia="zh-CN"/>
        </w:rPr>
        <w:t>9.32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2021年事业收入减少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238.17</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15.8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317.11</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238.17</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32.61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9.32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2021年事业收入减少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238.17</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32.6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15.8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238.17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32.6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2021年人员经费增加，财政拨款收入增加。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238.17</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103.41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28.2</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2021年人员增加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134.76</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24.39</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highlight w:val="none"/>
          <w:shd w:val="clear" w:color="auto" w:fill="FFFFFF"/>
          <w:lang w:val="en-US" w:eastAsia="zh-CN"/>
        </w:rPr>
        <w:t>2021年</w:t>
      </w:r>
      <w:r>
        <w:rPr>
          <w:rFonts w:hint="eastAsia" w:ascii="仿宋_GB2312" w:hAnsi="仿宋_GB2312" w:eastAsia="仿宋_GB2312" w:cs="仿宋_GB2312"/>
          <w:sz w:val="32"/>
          <w:szCs w:val="32"/>
          <w:highlight w:val="none"/>
          <w:shd w:val="clear" w:color="auto" w:fill="FFFFFF"/>
          <w:lang w:eastAsia="zh-CN"/>
        </w:rPr>
        <w:t>基本公共卫生经费减少。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无公务用车购置及运行维护费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无公务用车运行维护费</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964" w:firstLineChars="3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将绩效评价结果向社会公开，根据评价结果进一步完善管理制度，改进管理措施，提高资金使用效率。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bookmarkStart w:id="0" w:name="_GoBack"/>
      <w:bookmarkEnd w:id="0"/>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mY2YwZjg5YzYwMGFiNTcwNzQzZjY5MWUwNmFhMDY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5595CE0"/>
    <w:rsid w:val="0787393B"/>
    <w:rsid w:val="0D7F205C"/>
    <w:rsid w:val="1B542B6D"/>
    <w:rsid w:val="25137802"/>
    <w:rsid w:val="29345F99"/>
    <w:rsid w:val="36B64491"/>
    <w:rsid w:val="43217136"/>
    <w:rsid w:val="481C13AA"/>
    <w:rsid w:val="4C941211"/>
    <w:rsid w:val="4DCB3F96"/>
    <w:rsid w:val="52CF270B"/>
    <w:rsid w:val="62DB0C58"/>
    <w:rsid w:val="6B52582F"/>
    <w:rsid w:val="6C7E00F7"/>
    <w:rsid w:val="6FF52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3534</Words>
  <Characters>3743</Characters>
  <Lines>27</Lines>
  <Paragraphs>7</Paragraphs>
  <TotalTime>0</TotalTime>
  <ScaleCrop>false</ScaleCrop>
  <LinksUpToDate>false</LinksUpToDate>
  <CharactersWithSpaces>3834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小奋斗</cp:lastModifiedBy>
  <cp:lastPrinted>2023-06-01T08:29:00Z</cp:lastPrinted>
  <dcterms:modified xsi:type="dcterms:W3CDTF">2023-06-07T10:20:24Z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