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rPr>
          <w:rFonts w:ascii="宋体" w:hAnsi="宋体" w:eastAsia="宋体"/>
          <w:b/>
          <w:sz w:val="52"/>
          <w:szCs w:val="52"/>
        </w:rPr>
      </w:pPr>
    </w:p>
    <w:p>
      <w:pPr>
        <w:jc w:val="center"/>
        <w:rPr>
          <w:rFonts w:ascii="宋体" w:hAnsi="宋体" w:eastAsia="宋体"/>
          <w:b/>
          <w:sz w:val="52"/>
          <w:szCs w:val="52"/>
        </w:rPr>
      </w:pPr>
      <w:r>
        <w:rPr>
          <w:rFonts w:hint="eastAsia" w:ascii="宋体" w:hAnsi="宋体" w:eastAsia="宋体"/>
          <w:b/>
          <w:sz w:val="52"/>
          <w:szCs w:val="52"/>
        </w:rPr>
        <w:t>会宁县矿产资源总体规划</w:t>
      </w:r>
    </w:p>
    <w:p>
      <w:pPr>
        <w:jc w:val="center"/>
        <w:rPr>
          <w:rFonts w:ascii="宋体" w:hAnsi="宋体" w:eastAsia="宋体"/>
          <w:b/>
          <w:sz w:val="52"/>
          <w:szCs w:val="52"/>
        </w:rPr>
      </w:pPr>
      <w:r>
        <w:rPr>
          <w:rFonts w:hint="eastAsia" w:ascii="宋体" w:hAnsi="宋体" w:eastAsia="宋体"/>
          <w:b/>
          <w:sz w:val="52"/>
          <w:szCs w:val="52"/>
        </w:rPr>
        <w:t>（2</w:t>
      </w:r>
      <w:r>
        <w:rPr>
          <w:rFonts w:ascii="宋体" w:hAnsi="宋体" w:eastAsia="宋体"/>
          <w:b/>
          <w:sz w:val="52"/>
          <w:szCs w:val="52"/>
        </w:rPr>
        <w:t>021-2025</w:t>
      </w:r>
      <w:r>
        <w:rPr>
          <w:rFonts w:hint="eastAsia" w:ascii="宋体" w:hAnsi="宋体" w:eastAsia="宋体"/>
          <w:b/>
          <w:sz w:val="52"/>
          <w:szCs w:val="52"/>
        </w:rPr>
        <w:t>年）</w:t>
      </w: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r>
        <w:rPr>
          <w:rFonts w:hint="eastAsia" w:ascii="宋体" w:hAnsi="宋体" w:eastAsia="宋体"/>
          <w:b/>
          <w:sz w:val="36"/>
          <w:szCs w:val="36"/>
        </w:rPr>
        <w:t>会宁县人民政府</w:t>
      </w:r>
    </w:p>
    <w:p>
      <w:pPr>
        <w:jc w:val="center"/>
        <w:rPr>
          <w:rFonts w:ascii="宋体" w:hAnsi="宋体" w:eastAsia="宋体"/>
          <w:b/>
          <w:sz w:val="36"/>
          <w:szCs w:val="36"/>
        </w:rPr>
      </w:pPr>
      <w:r>
        <w:rPr>
          <w:rFonts w:hint="eastAsia" w:ascii="宋体" w:hAnsi="宋体" w:eastAsia="宋体"/>
          <w:b/>
          <w:sz w:val="36"/>
          <w:szCs w:val="36"/>
        </w:rPr>
        <w:t>二〇二二年十月</w:t>
      </w:r>
    </w:p>
    <w:p>
      <w:pPr>
        <w:jc w:val="center"/>
        <w:rPr>
          <w:rFonts w:ascii="宋体" w:hAnsi="宋体" w:eastAsia="宋体"/>
          <w:b/>
          <w:sz w:val="36"/>
          <w:szCs w:val="36"/>
        </w:rPr>
      </w:pPr>
      <w:r>
        <w:rPr>
          <w:rFonts w:ascii="宋体" w:hAnsi="宋体" w:eastAsia="宋体"/>
          <w:b/>
          <w:sz w:val="36"/>
          <w:szCs w:val="36"/>
        </w:rPr>
        <w:br w:type="page"/>
      </w:r>
    </w:p>
    <w:p>
      <w:pP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r>
        <w:rPr>
          <w:rFonts w:hint="eastAsia" w:ascii="宋体" w:hAnsi="宋体" w:eastAsia="宋体"/>
          <w:b/>
          <w:sz w:val="52"/>
          <w:szCs w:val="52"/>
        </w:rPr>
        <w:t>会宁县矿产资源总体规划</w:t>
      </w:r>
    </w:p>
    <w:p>
      <w:pPr>
        <w:jc w:val="center"/>
        <w:rPr>
          <w:rFonts w:ascii="宋体" w:hAnsi="宋体" w:eastAsia="宋体"/>
          <w:b/>
          <w:sz w:val="52"/>
          <w:szCs w:val="52"/>
        </w:rPr>
      </w:pPr>
      <w:r>
        <w:rPr>
          <w:rFonts w:hint="eastAsia" w:ascii="宋体" w:hAnsi="宋体" w:eastAsia="宋体"/>
          <w:b/>
          <w:sz w:val="52"/>
          <w:szCs w:val="52"/>
        </w:rPr>
        <w:t>（2</w:t>
      </w:r>
      <w:r>
        <w:rPr>
          <w:rFonts w:ascii="宋体" w:hAnsi="宋体" w:eastAsia="宋体"/>
          <w:b/>
          <w:sz w:val="52"/>
          <w:szCs w:val="52"/>
        </w:rPr>
        <w:t>021-2025</w:t>
      </w:r>
      <w:r>
        <w:rPr>
          <w:rFonts w:hint="eastAsia" w:ascii="宋体" w:hAnsi="宋体" w:eastAsia="宋体"/>
          <w:b/>
          <w:sz w:val="52"/>
          <w:szCs w:val="52"/>
        </w:rPr>
        <w:t>年）</w:t>
      </w: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提交单位：会宁县人民政府</w:t>
      </w: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组织单位：会宁县自然资源局</w:t>
      </w: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编制单位：甘肃煤田地质局一四六队</w:t>
      </w:r>
    </w:p>
    <w:p>
      <w:pPr>
        <w:adjustRightInd w:val="0"/>
        <w:snapToGrid w:val="0"/>
        <w:spacing w:line="360" w:lineRule="auto"/>
        <w:ind w:firstLine="1500" w:firstLineChars="500"/>
        <w:rPr>
          <w:rFonts w:ascii="宋体" w:hAnsi="宋体" w:eastAsia="宋体"/>
          <w:sz w:val="30"/>
          <w:szCs w:val="30"/>
        </w:rPr>
      </w:pP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法定代表人：马永辉</w:t>
      </w: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项目负责人：周凌云</w:t>
      </w: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 xml:space="preserve">编 制 人员：周凌云 </w:t>
      </w:r>
      <w:r>
        <w:rPr>
          <w:rFonts w:ascii="宋体" w:hAnsi="宋体" w:eastAsia="宋体"/>
          <w:sz w:val="30"/>
          <w:szCs w:val="30"/>
        </w:rPr>
        <w:t xml:space="preserve"> </w:t>
      </w:r>
      <w:r>
        <w:rPr>
          <w:rFonts w:hint="eastAsia" w:ascii="宋体" w:hAnsi="宋体" w:eastAsia="宋体"/>
          <w:sz w:val="30"/>
          <w:szCs w:val="30"/>
        </w:rPr>
        <w:t xml:space="preserve">王 </w:t>
      </w:r>
      <w:r>
        <w:rPr>
          <w:rFonts w:ascii="宋体" w:hAnsi="宋体" w:eastAsia="宋体"/>
          <w:sz w:val="30"/>
          <w:szCs w:val="30"/>
        </w:rPr>
        <w:t xml:space="preserve"> </w:t>
      </w:r>
      <w:r>
        <w:rPr>
          <w:rFonts w:hint="eastAsia" w:ascii="宋体" w:hAnsi="宋体" w:eastAsia="宋体"/>
          <w:sz w:val="30"/>
          <w:szCs w:val="30"/>
        </w:rPr>
        <w:t xml:space="preserve">斌 </w:t>
      </w:r>
      <w:r>
        <w:rPr>
          <w:rFonts w:ascii="宋体" w:hAnsi="宋体" w:eastAsia="宋体"/>
          <w:sz w:val="30"/>
          <w:szCs w:val="30"/>
        </w:rPr>
        <w:t xml:space="preserve"> </w:t>
      </w:r>
      <w:r>
        <w:rPr>
          <w:rFonts w:hint="eastAsia" w:ascii="宋体" w:hAnsi="宋体" w:eastAsia="宋体"/>
          <w:sz w:val="30"/>
          <w:szCs w:val="30"/>
        </w:rPr>
        <w:t xml:space="preserve">王志鸿 </w:t>
      </w:r>
      <w:r>
        <w:rPr>
          <w:rFonts w:ascii="宋体" w:hAnsi="宋体" w:eastAsia="宋体"/>
          <w:sz w:val="30"/>
          <w:szCs w:val="30"/>
        </w:rPr>
        <w:t xml:space="preserve"> </w:t>
      </w:r>
      <w:r>
        <w:rPr>
          <w:rFonts w:hint="eastAsia" w:ascii="宋体" w:hAnsi="宋体" w:eastAsia="宋体"/>
          <w:sz w:val="30"/>
          <w:szCs w:val="30"/>
        </w:rPr>
        <w:t>徐彩凤</w:t>
      </w:r>
    </w:p>
    <w:p>
      <w:pPr>
        <w:adjustRightInd w:val="0"/>
        <w:snapToGrid w:val="0"/>
        <w:spacing w:line="360" w:lineRule="auto"/>
        <w:ind w:firstLine="1500" w:firstLineChars="500"/>
        <w:rPr>
          <w:rFonts w:ascii="宋体" w:hAnsi="宋体" w:eastAsia="宋体"/>
          <w:sz w:val="30"/>
          <w:szCs w:val="30"/>
        </w:rPr>
      </w:pPr>
      <w:r>
        <w:rPr>
          <w:rFonts w:hint="eastAsia" w:ascii="宋体" w:hAnsi="宋体" w:eastAsia="宋体"/>
          <w:sz w:val="30"/>
          <w:szCs w:val="30"/>
        </w:rPr>
        <w:t xml:space="preserve"> </w:t>
      </w:r>
      <w:r>
        <w:rPr>
          <w:rFonts w:ascii="宋体" w:hAnsi="宋体" w:eastAsia="宋体"/>
          <w:sz w:val="30"/>
          <w:szCs w:val="30"/>
        </w:rPr>
        <w:t xml:space="preserve">           </w:t>
      </w:r>
      <w:r>
        <w:rPr>
          <w:rFonts w:hint="eastAsia" w:ascii="宋体" w:hAnsi="宋体" w:eastAsia="宋体"/>
          <w:sz w:val="30"/>
          <w:szCs w:val="30"/>
        </w:rPr>
        <w:t xml:space="preserve">思 </w:t>
      </w:r>
      <w:r>
        <w:rPr>
          <w:rFonts w:ascii="宋体" w:hAnsi="宋体" w:eastAsia="宋体"/>
          <w:sz w:val="30"/>
          <w:szCs w:val="30"/>
        </w:rPr>
        <w:t xml:space="preserve"> </w:t>
      </w:r>
      <w:r>
        <w:rPr>
          <w:rFonts w:hint="eastAsia" w:ascii="宋体" w:hAnsi="宋体" w:eastAsia="宋体"/>
          <w:sz w:val="30"/>
          <w:szCs w:val="30"/>
        </w:rPr>
        <w:t xml:space="preserve">雄 </w:t>
      </w:r>
      <w:r>
        <w:rPr>
          <w:rFonts w:ascii="宋体" w:hAnsi="宋体" w:eastAsia="宋体"/>
          <w:sz w:val="30"/>
          <w:szCs w:val="30"/>
        </w:rPr>
        <w:t xml:space="preserve"> </w:t>
      </w:r>
      <w:r>
        <w:rPr>
          <w:rFonts w:hint="eastAsia" w:ascii="宋体" w:hAnsi="宋体" w:eastAsia="宋体"/>
          <w:sz w:val="30"/>
          <w:szCs w:val="30"/>
        </w:rPr>
        <w:t xml:space="preserve">贾 </w:t>
      </w:r>
      <w:r>
        <w:rPr>
          <w:rFonts w:ascii="宋体" w:hAnsi="宋体" w:eastAsia="宋体"/>
          <w:sz w:val="30"/>
          <w:szCs w:val="30"/>
        </w:rPr>
        <w:t xml:space="preserve"> </w:t>
      </w:r>
      <w:r>
        <w:rPr>
          <w:rFonts w:hint="eastAsia" w:ascii="宋体" w:hAnsi="宋体" w:eastAsia="宋体"/>
          <w:sz w:val="30"/>
          <w:szCs w:val="30"/>
        </w:rPr>
        <w:t xml:space="preserve">岩 </w:t>
      </w:r>
      <w:r>
        <w:rPr>
          <w:rFonts w:ascii="宋体" w:hAnsi="宋体" w:eastAsia="宋体"/>
          <w:sz w:val="30"/>
          <w:szCs w:val="30"/>
        </w:rPr>
        <w:t xml:space="preserve"> </w:t>
      </w:r>
      <w:r>
        <w:rPr>
          <w:rFonts w:hint="eastAsia" w:ascii="宋体" w:hAnsi="宋体" w:eastAsia="宋体"/>
          <w:sz w:val="30"/>
          <w:szCs w:val="30"/>
        </w:rPr>
        <w:t xml:space="preserve">陈国庆 </w:t>
      </w:r>
      <w:r>
        <w:rPr>
          <w:rFonts w:ascii="宋体" w:hAnsi="宋体" w:eastAsia="宋体"/>
          <w:sz w:val="30"/>
          <w:szCs w:val="30"/>
        </w:rPr>
        <w:t xml:space="preserve"> </w:t>
      </w:r>
      <w:r>
        <w:rPr>
          <w:rFonts w:hint="eastAsia" w:ascii="宋体" w:hAnsi="宋体" w:eastAsia="宋体"/>
          <w:sz w:val="30"/>
          <w:szCs w:val="30"/>
        </w:rPr>
        <w:t xml:space="preserve">朱 </w:t>
      </w:r>
      <w:r>
        <w:rPr>
          <w:rFonts w:ascii="宋体" w:hAnsi="宋体" w:eastAsia="宋体"/>
          <w:sz w:val="30"/>
          <w:szCs w:val="30"/>
        </w:rPr>
        <w:t xml:space="preserve"> </w:t>
      </w:r>
      <w:r>
        <w:rPr>
          <w:rFonts w:hint="eastAsia" w:ascii="宋体" w:hAnsi="宋体" w:eastAsia="宋体"/>
          <w:sz w:val="30"/>
          <w:szCs w:val="30"/>
        </w:rPr>
        <w:t>昊</w:t>
      </w:r>
    </w:p>
    <w:p>
      <w:pPr>
        <w:adjustRightInd w:val="0"/>
        <w:snapToGrid w:val="0"/>
        <w:spacing w:line="360" w:lineRule="auto"/>
        <w:ind w:firstLine="1500" w:firstLineChars="500"/>
        <w:rPr>
          <w:rFonts w:ascii="宋体" w:hAnsi="宋体" w:eastAsia="宋体"/>
          <w:sz w:val="30"/>
          <w:szCs w:val="30"/>
        </w:rPr>
        <w:sectPr>
          <w:footerReference r:id="rId3" w:type="first"/>
          <w:type w:val="continuous"/>
          <w:pgSz w:w="11906" w:h="16838"/>
          <w:pgMar w:top="1701" w:right="1797" w:bottom="1985" w:left="1797" w:header="851" w:footer="992" w:gutter="0"/>
          <w:pgNumType w:fmt="upperRoman"/>
          <w:cols w:space="425" w:num="1"/>
          <w:docGrid w:linePitch="598" w:charSpace="0"/>
        </w:sectPr>
      </w:pPr>
      <w:r>
        <w:rPr>
          <w:rFonts w:hint="eastAsia" w:ascii="宋体" w:hAnsi="宋体" w:eastAsia="宋体"/>
          <w:sz w:val="30"/>
          <w:szCs w:val="30"/>
        </w:rPr>
        <w:t>编 制 时间：2</w:t>
      </w:r>
      <w:r>
        <w:rPr>
          <w:rFonts w:ascii="宋体" w:hAnsi="宋体" w:eastAsia="宋体"/>
          <w:sz w:val="30"/>
          <w:szCs w:val="30"/>
        </w:rPr>
        <w:t>02</w:t>
      </w:r>
      <w:r>
        <w:rPr>
          <w:rFonts w:hint="eastAsia" w:ascii="宋体" w:hAnsi="宋体" w:eastAsia="宋体"/>
          <w:sz w:val="30"/>
          <w:szCs w:val="30"/>
        </w:rPr>
        <w:t>2年10月</w:t>
      </w:r>
    </w:p>
    <w:sdt>
      <w:sdtPr>
        <w:rPr>
          <w:rFonts w:eastAsia="宋体" w:asciiTheme="minorHAnsi"/>
          <w:b/>
          <w:bCs/>
          <w:caps/>
          <w:sz w:val="30"/>
          <w:szCs w:val="20"/>
          <w:lang w:val="zh-CN"/>
        </w:rPr>
        <w:id w:val="-133112942"/>
        <w:docPartObj>
          <w:docPartGallery w:val="Table of Contents"/>
          <w:docPartUnique/>
        </w:docPartObj>
      </w:sdtPr>
      <w:sdtEndPr>
        <w:rPr>
          <w:rFonts w:hint="eastAsia" w:ascii="宋体" w:hAnsi="宋体" w:eastAsia="宋体"/>
          <w:b w:val="0"/>
          <w:bCs w:val="0"/>
          <w:caps w:val="0"/>
          <w:sz w:val="30"/>
          <w:szCs w:val="30"/>
          <w:lang w:val="zh-CN"/>
        </w:rPr>
      </w:sdtEndPr>
      <w:sdtContent>
        <w:p>
          <w:pPr>
            <w:spacing w:after="240" w:afterLines="100"/>
            <w:jc w:val="center"/>
            <w:rPr>
              <w:rFonts w:ascii="黑体" w:hAnsi="黑体"/>
              <w:sz w:val="36"/>
              <w:szCs w:val="36"/>
            </w:rPr>
          </w:pPr>
          <w:r>
            <w:rPr>
              <w:rFonts w:ascii="黑体" w:hAnsi="黑体"/>
              <w:color w:val="000000" w:themeColor="text1"/>
              <w:sz w:val="36"/>
              <w:szCs w:val="36"/>
              <w:lang w:val="zh-CN"/>
              <w14:textFill>
                <w14:solidFill>
                  <w14:schemeClr w14:val="tx1"/>
                </w14:solidFill>
              </w14:textFill>
            </w:rPr>
            <w:t>目</w:t>
          </w:r>
          <w:r>
            <w:rPr>
              <w:rFonts w:hint="eastAsia" w:ascii="黑体" w:hAnsi="黑体"/>
              <w:color w:val="000000" w:themeColor="text1"/>
              <w:sz w:val="36"/>
              <w:szCs w:val="36"/>
              <w:lang w:val="zh-CN"/>
              <w14:textFill>
                <w14:solidFill>
                  <w14:schemeClr w14:val="tx1"/>
                </w14:solidFill>
              </w14:textFill>
            </w:rPr>
            <w:t xml:space="preserve"> </w:t>
          </w:r>
          <w:r>
            <w:rPr>
              <w:rFonts w:ascii="黑体" w:hAnsi="黑体"/>
              <w:color w:val="000000" w:themeColor="text1"/>
              <w:sz w:val="36"/>
              <w:szCs w:val="36"/>
              <w:lang w:val="zh-CN"/>
              <w14:textFill>
                <w14:solidFill>
                  <w14:schemeClr w14:val="tx1"/>
                </w14:solidFill>
              </w14:textFill>
            </w:rPr>
            <w:t xml:space="preserve"> 录</w:t>
          </w:r>
        </w:p>
        <w:p>
          <w:pPr>
            <w:pStyle w:val="15"/>
            <w:tabs>
              <w:tab w:val="right" w:leader="dot" w:pos="8312"/>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TOC \o "1-2" \u </w:instrText>
          </w:r>
          <w:r>
            <w:rPr>
              <w:rFonts w:hint="eastAsia" w:ascii="宋体" w:hAnsi="宋体" w:cs="宋体"/>
              <w:sz w:val="28"/>
              <w:szCs w:val="28"/>
            </w:rPr>
            <w:fldChar w:fldCharType="separate"/>
          </w:r>
          <w:r>
            <w:rPr>
              <w:rFonts w:hint="eastAsia" w:ascii="宋体" w:hAnsi="宋体" w:cs="宋体"/>
              <w:sz w:val="28"/>
              <w:szCs w:val="28"/>
            </w:rPr>
            <w:t>总  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_Toc14811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p>
          <w:pPr>
            <w:pStyle w:val="15"/>
            <w:tabs>
              <w:tab w:val="right" w:leader="dot" w:pos="8312"/>
            </w:tabs>
            <w:rPr>
              <w:rFonts w:ascii="宋体" w:hAnsi="宋体" w:cs="宋体"/>
              <w:sz w:val="28"/>
              <w:szCs w:val="28"/>
            </w:rPr>
          </w:pPr>
          <w:r>
            <w:rPr>
              <w:rFonts w:hint="eastAsia" w:ascii="宋体" w:hAnsi="宋体" w:cs="宋体"/>
              <w:sz w:val="28"/>
              <w:szCs w:val="28"/>
            </w:rPr>
            <w:t>第一章  现状与形势</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_Toc28388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一  矿产资源概况及开发利用现状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_Toc8953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二  形势与要求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_Toc24413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p>
          <w:pPr>
            <w:pStyle w:val="15"/>
            <w:tabs>
              <w:tab w:val="right" w:leader="dot" w:pos="8312"/>
            </w:tabs>
            <w:rPr>
              <w:rFonts w:ascii="宋体" w:hAnsi="宋体" w:cs="宋体"/>
              <w:sz w:val="28"/>
              <w:szCs w:val="28"/>
            </w:rPr>
          </w:pPr>
          <w:r>
            <w:rPr>
              <w:rFonts w:hint="eastAsia" w:ascii="宋体" w:hAnsi="宋体" w:cs="宋体"/>
              <w:sz w:val="28"/>
              <w:szCs w:val="28"/>
            </w:rPr>
            <w:t>第二章  指导思想与规划目标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_Toc27063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一  指导思想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_Toc28619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二  基本原则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三  规划目标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_Toc22955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p>
        <w:p>
          <w:pPr>
            <w:pStyle w:val="15"/>
            <w:tabs>
              <w:tab w:val="right" w:leader="dot" w:pos="8312"/>
            </w:tabs>
            <w:rPr>
              <w:rFonts w:ascii="宋体" w:hAnsi="宋体" w:cs="宋体"/>
              <w:sz w:val="28"/>
              <w:szCs w:val="28"/>
            </w:rPr>
          </w:pPr>
          <w:r>
            <w:rPr>
              <w:rFonts w:hint="eastAsia" w:ascii="宋体" w:hAnsi="宋体" w:cs="宋体"/>
              <w:sz w:val="28"/>
              <w:szCs w:val="28"/>
            </w:rPr>
            <w:t>第三章  规划布局</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_Toc24805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一  矿产资源勘查开采调控方向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_Toc13630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bCs/>
              <w:sz w:val="28"/>
              <w:szCs w:val="28"/>
            </w:rPr>
            <w:t>二  强化勘查开采重点工作布局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_Toc6668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bCs/>
              <w:sz w:val="28"/>
              <w:szCs w:val="28"/>
            </w:rPr>
            <w:t>三  科学划定勘查开采规划区块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_Toc9794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p>
          <w:pPr>
            <w:pStyle w:val="15"/>
            <w:tabs>
              <w:tab w:val="right" w:leader="dot" w:pos="8312"/>
            </w:tabs>
            <w:rPr>
              <w:rFonts w:ascii="宋体" w:hAnsi="宋体" w:cs="宋体"/>
              <w:sz w:val="28"/>
              <w:szCs w:val="28"/>
            </w:rPr>
          </w:pPr>
          <w:r>
            <w:rPr>
              <w:rFonts w:hint="eastAsia" w:ascii="宋体" w:hAnsi="宋体" w:cs="宋体"/>
              <w:sz w:val="28"/>
              <w:szCs w:val="28"/>
            </w:rPr>
            <w:t>第四章  矿产资源勘查开发利用与保护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_Toc28974 \h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一  合理确定开发强度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二  优化开发利用规模结构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_Toc28282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三  严格规划准入管理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_Toc22300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四  强化开发监督管理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_Toc12921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p>
          <w:pPr>
            <w:pStyle w:val="15"/>
            <w:tabs>
              <w:tab w:val="right" w:leader="dot" w:pos="8312"/>
            </w:tabs>
            <w:rPr>
              <w:rFonts w:ascii="宋体" w:hAnsi="宋体" w:cs="宋体"/>
              <w:sz w:val="28"/>
              <w:szCs w:val="28"/>
            </w:rPr>
          </w:pPr>
          <w:r>
            <w:rPr>
              <w:rFonts w:hint="eastAsia" w:ascii="宋体" w:hAnsi="宋体" w:cs="宋体"/>
              <w:sz w:val="28"/>
              <w:szCs w:val="28"/>
            </w:rPr>
            <w:t>第五章  推进矿业绿色发展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_Toc18762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一  推进矿业技术创新和综合利用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_Toc4109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二  全力推动绿色矿业发展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_Toc18514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sz w:val="28"/>
              <w:szCs w:val="28"/>
            </w:rPr>
            <w:t>三  强化矿山生态保护修复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_Toc12103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p>
          <w:pPr>
            <w:pStyle w:val="15"/>
            <w:tabs>
              <w:tab w:val="right" w:leader="dot" w:pos="8312"/>
            </w:tabs>
            <w:rPr>
              <w:rFonts w:ascii="宋体" w:hAnsi="宋体" w:cs="宋体"/>
              <w:sz w:val="28"/>
              <w:szCs w:val="28"/>
            </w:rPr>
          </w:pPr>
          <w:r>
            <w:rPr>
              <w:rFonts w:hint="eastAsia" w:ascii="宋体" w:hAnsi="宋体" w:cs="宋体"/>
              <w:sz w:val="28"/>
              <w:szCs w:val="28"/>
            </w:rPr>
            <w:t>第六章  规划保障措施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_Toc27339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bCs/>
              <w:sz w:val="28"/>
              <w:szCs w:val="28"/>
            </w:rPr>
            <w:t>一  加强规划实施组织领导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_Toc18438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bCs/>
              <w:sz w:val="28"/>
              <w:szCs w:val="28"/>
            </w:rPr>
            <w:t>二  强化规划实施情况监督检查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_Toc7730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bCs/>
              <w:sz w:val="28"/>
              <w:szCs w:val="28"/>
            </w:rPr>
            <w:t>三  严格矿产资源勘查开采项目规划审查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_Toc14977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p>
          <w:pPr>
            <w:pStyle w:val="18"/>
            <w:tabs>
              <w:tab w:val="right" w:leader="dot" w:pos="8312"/>
            </w:tabs>
            <w:spacing w:line="360" w:lineRule="auto"/>
            <w:ind w:left="0"/>
            <w:rPr>
              <w:rFonts w:ascii="宋体" w:hAnsi="宋体" w:eastAsia="宋体" w:cs="宋体"/>
              <w:sz w:val="28"/>
              <w:szCs w:val="28"/>
            </w:rPr>
          </w:pPr>
          <w:r>
            <w:rPr>
              <w:rFonts w:hint="eastAsia" w:ascii="宋体" w:hAnsi="宋体" w:eastAsia="宋体" w:cs="宋体"/>
              <w:bCs/>
              <w:sz w:val="28"/>
              <w:szCs w:val="28"/>
            </w:rPr>
            <w:t>四  完善规划实施评估调整机制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_Toc4048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p>
          <w:pPr>
            <w:pStyle w:val="18"/>
            <w:tabs>
              <w:tab w:val="right" w:leader="dot" w:pos="8312"/>
            </w:tabs>
            <w:spacing w:line="360" w:lineRule="auto"/>
            <w:ind w:left="0"/>
          </w:pPr>
          <w:r>
            <w:rPr>
              <w:rFonts w:hint="eastAsia" w:ascii="宋体" w:hAnsi="宋体" w:eastAsia="宋体" w:cs="宋体"/>
              <w:bCs/>
              <w:sz w:val="28"/>
              <w:szCs w:val="28"/>
            </w:rPr>
            <w:t>五  提高规划管理信息化水平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_Toc15652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p>
          <w:pPr>
            <w:pStyle w:val="15"/>
            <w:tabs>
              <w:tab w:val="right" w:leader="dot" w:pos="8302"/>
            </w:tabs>
            <w:rPr>
              <w:rFonts w:ascii="宋体" w:hAnsi="宋体"/>
              <w:b w:val="0"/>
              <w:bCs w:val="0"/>
              <w:caps w:val="0"/>
              <w:szCs w:val="30"/>
            </w:rPr>
            <w:sectPr>
              <w:footerReference r:id="rId4" w:type="default"/>
              <w:pgSz w:w="11906" w:h="16838"/>
              <w:pgMar w:top="1701" w:right="1797" w:bottom="1985" w:left="1797" w:header="851" w:footer="992" w:gutter="0"/>
              <w:pgNumType w:fmt="upperRoman" w:start="1"/>
              <w:cols w:space="425" w:num="1"/>
              <w:docGrid w:linePitch="598" w:charSpace="0"/>
            </w:sectPr>
          </w:pPr>
          <w:r>
            <w:rPr>
              <w:rFonts w:hint="eastAsia" w:ascii="宋体" w:hAnsi="宋体" w:cs="宋体"/>
              <w:szCs w:val="28"/>
            </w:rPr>
            <w:fldChar w:fldCharType="end"/>
          </w:r>
        </w:p>
      </w:sdtContent>
    </w:sdt>
    <w:p>
      <w:pPr>
        <w:adjustRightInd w:val="0"/>
        <w:snapToGrid w:val="0"/>
        <w:spacing w:line="360" w:lineRule="auto"/>
        <w:rPr>
          <w:rFonts w:ascii="宋体" w:hAnsi="宋体" w:eastAsia="宋体"/>
          <w:b/>
          <w:bCs/>
          <w:caps/>
          <w:sz w:val="30"/>
          <w:szCs w:val="30"/>
        </w:rPr>
      </w:pPr>
      <w:bookmarkStart w:id="0" w:name="_Toc14811"/>
      <w:r>
        <w:rPr>
          <w:rFonts w:hint="eastAsia" w:ascii="宋体" w:hAnsi="宋体" w:eastAsia="宋体"/>
          <w:b/>
          <w:bCs/>
          <w:caps/>
          <w:sz w:val="30"/>
          <w:szCs w:val="30"/>
        </w:rPr>
        <w:t>附表：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附表1：甘肃省会宁县规划基期矿产资源储量表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w:t>
      </w:r>
      <w:r>
        <w:rPr>
          <w:rFonts w:ascii="宋体" w:hAnsi="宋体" w:eastAsia="宋体"/>
          <w:sz w:val="30"/>
          <w:szCs w:val="30"/>
        </w:rPr>
        <w:t>2</w:t>
      </w:r>
      <w:r>
        <w:rPr>
          <w:rFonts w:hint="eastAsia" w:ascii="宋体" w:hAnsi="宋体" w:eastAsia="宋体"/>
          <w:sz w:val="30"/>
          <w:szCs w:val="30"/>
        </w:rPr>
        <w:t>：甘肃省会宁县规划基期矿区（床）资源量基本情况表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w:t>
      </w:r>
      <w:r>
        <w:rPr>
          <w:rFonts w:ascii="宋体" w:hAnsi="宋体" w:eastAsia="宋体"/>
          <w:sz w:val="30"/>
          <w:szCs w:val="30"/>
        </w:rPr>
        <w:t>3</w:t>
      </w:r>
      <w:r>
        <w:rPr>
          <w:rFonts w:hint="eastAsia" w:ascii="宋体" w:hAnsi="宋体" w:eastAsia="宋体"/>
          <w:sz w:val="30"/>
          <w:szCs w:val="30"/>
        </w:rPr>
        <w:t>：甘肃省会宁县规划基期矿产资源开发利用现状表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w:t>
      </w:r>
      <w:r>
        <w:rPr>
          <w:rFonts w:ascii="宋体" w:hAnsi="宋体" w:eastAsia="宋体"/>
          <w:sz w:val="30"/>
          <w:szCs w:val="30"/>
        </w:rPr>
        <w:t>4</w:t>
      </w:r>
      <w:r>
        <w:rPr>
          <w:rFonts w:hint="eastAsia" w:ascii="宋体" w:hAnsi="宋体" w:eastAsia="宋体"/>
          <w:sz w:val="30"/>
          <w:szCs w:val="30"/>
        </w:rPr>
        <w:t>：甘肃省会宁县规划基期矿山开发利用现状表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w:t>
      </w:r>
      <w:r>
        <w:rPr>
          <w:rFonts w:ascii="宋体" w:hAnsi="宋体" w:eastAsia="宋体"/>
          <w:sz w:val="30"/>
          <w:szCs w:val="30"/>
        </w:rPr>
        <w:t>5</w:t>
      </w:r>
      <w:r>
        <w:rPr>
          <w:rFonts w:hint="eastAsia" w:ascii="宋体" w:hAnsi="宋体" w:eastAsia="宋体"/>
          <w:sz w:val="30"/>
          <w:szCs w:val="30"/>
        </w:rPr>
        <w:t>：甘肃省会宁县规划基期探矿权现状表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w:t>
      </w:r>
      <w:r>
        <w:rPr>
          <w:rFonts w:ascii="宋体" w:hAnsi="宋体" w:eastAsia="宋体"/>
          <w:sz w:val="30"/>
          <w:szCs w:val="30"/>
        </w:rPr>
        <w:t>6</w:t>
      </w:r>
      <w:r>
        <w:rPr>
          <w:rFonts w:hint="eastAsia" w:ascii="宋体" w:hAnsi="宋体" w:eastAsia="宋体"/>
          <w:sz w:val="30"/>
          <w:szCs w:val="30"/>
        </w:rPr>
        <w:t>：甘肃省会宁县规划基期采矿权现状表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附表7：甘肃省会宁县勘查规划区块表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附表8：甘肃省会宁县矿产资源开采分区表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附表9：甘肃省会宁县矿产资源开采规划区块表</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附表10：甘肃省会宁县重点矿种矿山最低开采规模规划表</w:t>
      </w:r>
    </w:p>
    <w:p>
      <w:pPr>
        <w:widowControl w:val="0"/>
        <w:adjustRightInd w:val="0"/>
        <w:snapToGrid w:val="0"/>
        <w:spacing w:line="360" w:lineRule="auto"/>
        <w:jc w:val="both"/>
        <w:rPr>
          <w:rFonts w:ascii="宋体" w:hAnsi="宋体" w:eastAsia="宋体"/>
          <w:b/>
          <w:sz w:val="30"/>
          <w:szCs w:val="30"/>
        </w:rPr>
      </w:pPr>
      <w:r>
        <w:rPr>
          <w:rFonts w:hint="eastAsia" w:ascii="宋体" w:hAnsi="宋体" w:eastAsia="宋体"/>
          <w:b/>
          <w:sz w:val="30"/>
          <w:szCs w:val="30"/>
        </w:rPr>
        <w:t>附图：</w:t>
      </w:r>
    </w:p>
    <w:p>
      <w:pPr>
        <w:widowControl w:val="0"/>
        <w:adjustRightInd w:val="0"/>
        <w:snapToGrid w:val="0"/>
        <w:spacing w:line="360" w:lineRule="auto"/>
        <w:jc w:val="both"/>
        <w:rPr>
          <w:rFonts w:ascii="宋体" w:hAnsi="宋体" w:eastAsia="宋体"/>
          <w:sz w:val="30"/>
          <w:szCs w:val="30"/>
        </w:rPr>
      </w:pPr>
      <w:r>
        <w:rPr>
          <w:rFonts w:hint="eastAsia" w:ascii="宋体" w:hAnsi="宋体" w:eastAsia="宋体"/>
          <w:sz w:val="30"/>
          <w:szCs w:val="30"/>
        </w:rPr>
        <w:t>附图</w:t>
      </w:r>
      <w:r>
        <w:rPr>
          <w:rFonts w:ascii="宋体" w:hAnsi="宋体" w:eastAsia="宋体"/>
          <w:sz w:val="30"/>
          <w:szCs w:val="30"/>
        </w:rPr>
        <w:t>1</w:t>
      </w:r>
      <w:r>
        <w:rPr>
          <w:rFonts w:hint="eastAsia" w:ascii="宋体" w:hAnsi="宋体" w:eastAsia="宋体"/>
          <w:sz w:val="30"/>
          <w:szCs w:val="30"/>
        </w:rPr>
        <w:t>: 会宁县矿产资源分布图</w:t>
      </w:r>
    </w:p>
    <w:p>
      <w:pPr>
        <w:tabs>
          <w:tab w:val="left" w:pos="465"/>
        </w:tabs>
        <w:adjustRightInd w:val="0"/>
        <w:snapToGrid w:val="0"/>
        <w:spacing w:line="360" w:lineRule="auto"/>
        <w:rPr>
          <w:rFonts w:ascii="宋体" w:hAnsi="宋体" w:eastAsia="宋体"/>
          <w:bCs/>
          <w:caps/>
          <w:sz w:val="30"/>
          <w:szCs w:val="30"/>
        </w:rPr>
      </w:pPr>
      <w:r>
        <w:rPr>
          <w:rFonts w:hint="eastAsia" w:ascii="宋体" w:hAnsi="宋体" w:eastAsia="宋体"/>
          <w:bCs/>
          <w:caps/>
          <w:sz w:val="30"/>
          <w:szCs w:val="30"/>
        </w:rPr>
        <w:t>附图</w:t>
      </w:r>
      <w:r>
        <w:rPr>
          <w:rFonts w:ascii="宋体" w:hAnsi="宋体" w:eastAsia="宋体"/>
          <w:bCs/>
          <w:caps/>
          <w:sz w:val="30"/>
          <w:szCs w:val="30"/>
        </w:rPr>
        <w:t>2:</w:t>
      </w:r>
      <w:r>
        <w:rPr>
          <w:rFonts w:hint="eastAsia" w:ascii="宋体" w:hAnsi="宋体" w:eastAsia="宋体"/>
          <w:sz w:val="30"/>
          <w:szCs w:val="30"/>
        </w:rPr>
        <w:t xml:space="preserve"> 会宁县</w:t>
      </w:r>
      <w:r>
        <w:rPr>
          <w:rFonts w:hint="eastAsia" w:ascii="宋体" w:hAnsi="宋体" w:eastAsia="宋体"/>
          <w:bCs/>
          <w:caps/>
          <w:sz w:val="30"/>
          <w:szCs w:val="30"/>
        </w:rPr>
        <w:t>矿产资源勘查开发利用现状图</w:t>
      </w:r>
    </w:p>
    <w:p>
      <w:pPr>
        <w:tabs>
          <w:tab w:val="left" w:pos="465"/>
        </w:tabs>
        <w:adjustRightInd w:val="0"/>
        <w:snapToGrid w:val="0"/>
        <w:spacing w:line="360" w:lineRule="auto"/>
        <w:rPr>
          <w:rFonts w:ascii="宋体" w:hAnsi="宋体" w:eastAsia="宋体"/>
          <w:bCs/>
          <w:caps/>
          <w:sz w:val="30"/>
          <w:szCs w:val="30"/>
        </w:rPr>
      </w:pPr>
      <w:r>
        <w:rPr>
          <w:rFonts w:hint="eastAsia" w:ascii="宋体" w:hAnsi="宋体" w:eastAsia="宋体"/>
          <w:bCs/>
          <w:caps/>
          <w:sz w:val="30"/>
          <w:szCs w:val="30"/>
        </w:rPr>
        <w:t>附图3:</w:t>
      </w:r>
      <w:r>
        <w:rPr>
          <w:rFonts w:hint="eastAsia" w:ascii="宋体" w:hAnsi="宋体" w:eastAsia="宋体"/>
          <w:sz w:val="30"/>
          <w:szCs w:val="30"/>
        </w:rPr>
        <w:t xml:space="preserve"> 会宁县</w:t>
      </w:r>
      <w:r>
        <w:rPr>
          <w:rFonts w:hint="eastAsia" w:ascii="宋体" w:hAnsi="宋体" w:eastAsia="宋体"/>
          <w:bCs/>
          <w:caps/>
          <w:sz w:val="30"/>
          <w:szCs w:val="30"/>
        </w:rPr>
        <w:t>矿产资源勘查规划图</w:t>
      </w:r>
    </w:p>
    <w:p>
      <w:pPr>
        <w:jc w:val="both"/>
        <w:sectPr>
          <w:headerReference r:id="rId5" w:type="default"/>
          <w:footerReference r:id="rId6" w:type="default"/>
          <w:pgSz w:w="11906" w:h="16838"/>
          <w:pgMar w:top="1701" w:right="1797" w:bottom="1985" w:left="1797" w:header="851" w:footer="992" w:gutter="0"/>
          <w:pgNumType w:fmt="upperRoman"/>
          <w:cols w:space="425" w:num="1"/>
          <w:docGrid w:linePitch="598" w:charSpace="0"/>
        </w:sectPr>
      </w:pPr>
      <w:r>
        <w:rPr>
          <w:rFonts w:hint="eastAsia" w:ascii="宋体" w:hAnsi="宋体" w:eastAsia="宋体"/>
          <w:sz w:val="30"/>
          <w:szCs w:val="30"/>
        </w:rPr>
        <w:t>附图</w:t>
      </w:r>
      <w:r>
        <w:rPr>
          <w:rFonts w:hint="eastAsia" w:ascii="宋体" w:hAnsi="宋体"/>
          <w:sz w:val="30"/>
          <w:szCs w:val="30"/>
        </w:rPr>
        <w:t>4</w:t>
      </w:r>
      <w:r>
        <w:rPr>
          <w:rFonts w:hint="eastAsia" w:ascii="宋体" w:hAnsi="宋体" w:eastAsia="宋体"/>
          <w:sz w:val="30"/>
          <w:szCs w:val="30"/>
        </w:rPr>
        <w:t>: 会宁县矿产资源开采规划图</w:t>
      </w:r>
    </w:p>
    <w:p>
      <w:pPr>
        <w:pStyle w:val="3"/>
      </w:pPr>
      <w:r>
        <w:rPr>
          <w:rFonts w:hint="eastAsia"/>
        </w:rPr>
        <w:t>总  则</w:t>
      </w:r>
      <w:bookmarkEnd w:id="0"/>
    </w:p>
    <w:p>
      <w:pPr>
        <w:pStyle w:val="29"/>
        <w:ind w:firstLine="600"/>
      </w:pPr>
      <w:r>
        <w:rPr>
          <w:rFonts w:hint="eastAsia"/>
        </w:rPr>
        <w:t>矿产资源是社会发展的重要物质基础，矿产资源的合理勘查、开发利用与保护事关经济建设和生态文明建设全局。为提高矿产资源保障能力，促进矿业高质量发展，依据《中华人民共和国矿产资源法》等相关法律法规和《甘肃省自然资源厅关于开展市县级矿产资源总体规划（2021-2025年）编制工作的通知》（甘资矿保发〔2020〕3号）、《会宁县国民经济和社会发展第十四个五年规划和二〇三五年远景目标纲要》、《白银市矿产资源总体规划（2021-2025年）》，结合会宁县矿产资源勘查开发保护和经济发展实际，制定《会宁县矿产资源总体规划（20</w:t>
      </w:r>
      <w:r>
        <w:t>21</w:t>
      </w:r>
      <w:r>
        <w:rPr>
          <w:rFonts w:hint="eastAsia"/>
        </w:rPr>
        <w:t>-202</w:t>
      </w:r>
      <w:r>
        <w:t>5</w:t>
      </w:r>
      <w:r>
        <w:rPr>
          <w:rFonts w:hint="eastAsia"/>
        </w:rPr>
        <w:t>年）》（以下简称《规划》）。</w:t>
      </w:r>
    </w:p>
    <w:p>
      <w:pPr>
        <w:pStyle w:val="29"/>
        <w:ind w:firstLine="600"/>
      </w:pPr>
      <w:r>
        <w:rPr>
          <w:rFonts w:hint="eastAsia"/>
        </w:rPr>
        <w:t>《规划》是我县落实矿产资源战略，提高矿产资源管理水平的重要手段，是依法审批和监督管理地质勘查、矿产资源开发利用和保护活动的重要依据。涉及矿产资源调查、勘查、开发利用活动的相关行业规划，应当与本《规划》做好衔接。</w:t>
      </w:r>
    </w:p>
    <w:p>
      <w:pPr>
        <w:pStyle w:val="29"/>
        <w:ind w:firstLine="600"/>
        <w:sectPr>
          <w:footerReference r:id="rId7" w:type="default"/>
          <w:pgSz w:w="11906" w:h="16838"/>
          <w:pgMar w:top="1701" w:right="1797" w:bottom="1985" w:left="1797" w:header="851" w:footer="992" w:gutter="0"/>
          <w:pgNumType w:start="1"/>
          <w:cols w:space="425" w:num="1"/>
          <w:docGrid w:linePitch="598" w:charSpace="0"/>
        </w:sectPr>
      </w:pPr>
      <w:r>
        <w:rPr>
          <w:rFonts w:hint="eastAsia"/>
        </w:rPr>
        <w:t>《规划》基期为2</w:t>
      </w:r>
      <w:r>
        <w:t>020年，</w:t>
      </w:r>
      <w:r>
        <w:rPr>
          <w:rFonts w:hint="eastAsia"/>
        </w:rPr>
        <w:t>规划期为2</w:t>
      </w:r>
      <w:r>
        <w:t>021-2025</w:t>
      </w:r>
      <w:r>
        <w:rPr>
          <w:rFonts w:hint="eastAsia"/>
        </w:rPr>
        <w:t>年，</w:t>
      </w:r>
      <w:r>
        <w:t>展望到</w:t>
      </w:r>
      <w:r>
        <w:rPr>
          <w:rFonts w:hint="eastAsia"/>
        </w:rPr>
        <w:t>2</w:t>
      </w:r>
      <w:r>
        <w:t>035年</w:t>
      </w:r>
      <w:r>
        <w:rPr>
          <w:rFonts w:hint="eastAsia"/>
        </w:rPr>
        <w:t>，适用范围为会宁县所辖行政区域</w:t>
      </w:r>
      <w:r>
        <w:t>。</w:t>
      </w:r>
      <w:r>
        <w:br w:type="page"/>
      </w:r>
    </w:p>
    <w:p>
      <w:pPr>
        <w:pStyle w:val="3"/>
      </w:pPr>
      <w:bookmarkStart w:id="1" w:name="_Toc28388"/>
      <w:r>
        <w:t>第一章</w:t>
      </w:r>
      <w:r>
        <w:rPr>
          <w:rFonts w:hint="eastAsia"/>
        </w:rPr>
        <w:t xml:space="preserve"> </w:t>
      </w:r>
      <w:r>
        <w:t xml:space="preserve"> </w:t>
      </w:r>
      <w:r>
        <w:rPr>
          <w:rFonts w:hint="eastAsia"/>
        </w:rPr>
        <w:t>现状与形势</w:t>
      </w:r>
      <w:bookmarkEnd w:id="1"/>
    </w:p>
    <w:p>
      <w:pPr>
        <w:pStyle w:val="4"/>
        <w:adjustRightInd w:val="0"/>
        <w:snapToGrid w:val="0"/>
        <w:spacing w:line="360" w:lineRule="auto"/>
        <w:ind w:firstLine="640" w:firstLineChars="200"/>
      </w:pPr>
      <w:bookmarkStart w:id="2" w:name="_Toc8953"/>
      <w:r>
        <w:rPr>
          <w:rFonts w:hint="eastAsia"/>
        </w:rPr>
        <w:t xml:space="preserve">一 </w:t>
      </w:r>
      <w:r>
        <w:t xml:space="preserve"> 矿产资源概况及开发利用现状</w:t>
      </w:r>
      <w:bookmarkEnd w:id="2"/>
    </w:p>
    <w:p>
      <w:pPr>
        <w:pStyle w:val="29"/>
        <w:ind w:firstLine="602"/>
        <w:rPr>
          <w:b/>
        </w:rPr>
      </w:pPr>
      <w:r>
        <w:rPr>
          <w:rFonts w:hint="eastAsia"/>
          <w:b/>
        </w:rPr>
        <w:t>（一）矿产资源概况</w:t>
      </w:r>
    </w:p>
    <w:p>
      <w:pPr>
        <w:pStyle w:val="29"/>
        <w:ind w:firstLine="600"/>
        <w:rPr>
          <w:szCs w:val="30"/>
        </w:rPr>
      </w:pPr>
      <w:r>
        <w:rPr>
          <w:rFonts w:hint="eastAsia" w:ascii="仿宋_GB2312" w:cs="Times New Roman"/>
          <w:szCs w:val="30"/>
        </w:rPr>
        <w:t>会宁县矿产资源贫乏。截至2020年底，会宁县已发现芒硝、凹凸棒石、建筑石料用灰岩、水泥用灰岩、建筑用石料（凝灰岩）、建筑用砂、砖瓦用粘土、矿泉水等各类矿产8种，占全市矿种总数的15%。</w:t>
      </w:r>
      <w:r>
        <w:rPr>
          <w:rFonts w:hint="eastAsia"/>
          <w:szCs w:val="30"/>
        </w:rPr>
        <w:t>矿产地29处，其中芒硝矿产地2处，凹凸棒石粘土矿产地1处，砂石土矿产地26处。</w:t>
      </w:r>
    </w:p>
    <w:p>
      <w:pPr>
        <w:pStyle w:val="29"/>
        <w:ind w:firstLine="600"/>
        <w:rPr>
          <w:rFonts w:ascii="仿宋_GB2312" w:cs="Times New Roman"/>
          <w:szCs w:val="30"/>
        </w:rPr>
      </w:pPr>
      <w:r>
        <w:rPr>
          <w:rFonts w:hint="eastAsia" w:ascii="仿宋_GB2312" w:cs="Times New Roman"/>
          <w:szCs w:val="30"/>
        </w:rPr>
        <w:t>截至2020年底全县查明芒硝资源量1170.2万吨，分布在甘沟驿镇；凹凸棒石粘土资源量1623.1万吨，主要分布在会宁县北部土高乡一带；建筑石料用灰岩资源量9</w:t>
      </w:r>
      <w:r>
        <w:rPr>
          <w:rFonts w:ascii="仿宋_GB2312" w:cs="Times New Roman"/>
          <w:szCs w:val="30"/>
        </w:rPr>
        <w:t>3.5</w:t>
      </w:r>
      <w:r>
        <w:rPr>
          <w:rFonts w:hint="eastAsia" w:ascii="仿宋_GB2312" w:cs="Times New Roman"/>
          <w:szCs w:val="30"/>
        </w:rPr>
        <w:t>万立方米，建筑用凝灰岩资源量</w:t>
      </w:r>
      <w:r>
        <w:rPr>
          <w:rFonts w:ascii="仿宋_GB2312" w:cs="Times New Roman"/>
          <w:szCs w:val="30"/>
        </w:rPr>
        <w:t>313</w:t>
      </w:r>
      <w:r>
        <w:rPr>
          <w:rFonts w:hint="eastAsia" w:ascii="仿宋_GB2312" w:cs="Times New Roman"/>
          <w:szCs w:val="30"/>
        </w:rPr>
        <w:t>.</w:t>
      </w:r>
      <w:r>
        <w:rPr>
          <w:rFonts w:ascii="仿宋_GB2312" w:cs="Times New Roman"/>
          <w:szCs w:val="30"/>
        </w:rPr>
        <w:t>6</w:t>
      </w:r>
      <w:r>
        <w:rPr>
          <w:rFonts w:hint="eastAsia" w:ascii="仿宋_GB2312" w:cs="Times New Roman"/>
          <w:szCs w:val="30"/>
        </w:rPr>
        <w:t>万立方米，集中分布在丁家沟镇、头寨子镇；砖瓦用粘土资源量</w:t>
      </w:r>
      <w:r>
        <w:rPr>
          <w:rFonts w:ascii="仿宋_GB2312" w:cs="Times New Roman"/>
          <w:szCs w:val="30"/>
        </w:rPr>
        <w:t>767.7</w:t>
      </w:r>
      <w:r>
        <w:rPr>
          <w:rFonts w:hint="eastAsia" w:ascii="仿宋_GB2312" w:cs="Times New Roman"/>
          <w:szCs w:val="30"/>
        </w:rPr>
        <w:t>万立方米。目前开采矿种仅有砖瓦用粘土、建筑石料用灰岩和建筑用凝灰岩。</w:t>
      </w:r>
    </w:p>
    <w:p>
      <w:pPr>
        <w:pStyle w:val="29"/>
        <w:ind w:firstLine="602"/>
        <w:rPr>
          <w:rFonts w:ascii="仿宋_GB2312" w:cs="Times New Roman"/>
          <w:szCs w:val="30"/>
        </w:rPr>
      </w:pPr>
      <w:r>
        <w:rPr>
          <w:rFonts w:hint="eastAsia"/>
          <w:b/>
        </w:rPr>
        <w:t>（二）开发利用现状</w:t>
      </w:r>
    </w:p>
    <w:p>
      <w:pPr>
        <w:widowControl w:val="0"/>
        <w:spacing w:line="360" w:lineRule="auto"/>
        <w:ind w:firstLine="600" w:firstLineChars="200"/>
        <w:jc w:val="both"/>
        <w:rPr>
          <w:rFonts w:ascii="仿宋_GB2312" w:eastAsia="仿宋_GB2312" w:cs="Times New Roman"/>
          <w:sz w:val="30"/>
          <w:szCs w:val="30"/>
        </w:rPr>
      </w:pPr>
      <w:r>
        <w:rPr>
          <w:rFonts w:hint="eastAsia" w:ascii="仿宋_GB2312" w:eastAsia="仿宋_GB2312" w:cs="Times New Roman"/>
          <w:sz w:val="30"/>
          <w:szCs w:val="30"/>
        </w:rPr>
        <w:t>截至20</w:t>
      </w:r>
      <w:r>
        <w:rPr>
          <w:rFonts w:ascii="仿宋_GB2312" w:eastAsia="仿宋_GB2312" w:cs="Times New Roman"/>
          <w:sz w:val="30"/>
          <w:szCs w:val="30"/>
        </w:rPr>
        <w:t>20</w:t>
      </w:r>
      <w:r>
        <w:rPr>
          <w:rFonts w:hint="eastAsia" w:ascii="仿宋_GB2312" w:eastAsia="仿宋_GB2312" w:cs="Times New Roman"/>
          <w:sz w:val="30"/>
          <w:szCs w:val="30"/>
        </w:rPr>
        <w:t>年底，全县共有持证矿山</w:t>
      </w:r>
      <w:r>
        <w:rPr>
          <w:rFonts w:ascii="仿宋_GB2312" w:eastAsia="仿宋_GB2312" w:cs="Times New Roman"/>
          <w:sz w:val="30"/>
          <w:szCs w:val="30"/>
        </w:rPr>
        <w:t>27</w:t>
      </w:r>
      <w:r>
        <w:rPr>
          <w:rFonts w:hint="eastAsia" w:ascii="仿宋_GB2312" w:eastAsia="仿宋_GB2312" w:cs="Times New Roman"/>
          <w:sz w:val="30"/>
          <w:szCs w:val="30"/>
        </w:rPr>
        <w:t>家，矿山按矿种分芒硝1个、建筑石料用灰岩3个、建筑用凝灰岩2个、砖瓦用粘土21个。按矿山规模分全部为小型矿山。年采矿石总量21.59万吨，矿业总产值1748万元。</w:t>
      </w:r>
    </w:p>
    <w:p>
      <w:pPr>
        <w:pStyle w:val="29"/>
        <w:ind w:firstLine="602"/>
        <w:rPr>
          <w:b/>
        </w:rPr>
      </w:pPr>
      <w:r>
        <w:rPr>
          <w:rFonts w:hint="eastAsia"/>
          <w:b/>
        </w:rPr>
        <w:t>（三）上轮规划实施的成效</w:t>
      </w:r>
    </w:p>
    <w:p>
      <w:pPr>
        <w:pStyle w:val="29"/>
        <w:ind w:firstLine="602"/>
      </w:pPr>
      <w:r>
        <w:rPr>
          <w:rFonts w:hint="eastAsia"/>
          <w:b/>
        </w:rPr>
        <w:t>一是开发利用结构持续优化。</w:t>
      </w:r>
      <w:r>
        <w:rPr>
          <w:rFonts w:hint="eastAsia"/>
        </w:rPr>
        <w:t>我县积极调整资源利用结构和布局，严格执行新建矿山准入管理制度，大力推进资源整合，逐步淘汰落后产能；严格控制了新增矿山数量，持续优化矿业结构，砂石土矿集中开发程度逐步提高，矿产资源开发利用结构有所优化，全县矿山企业由基期49个调整为27个。</w:t>
      </w:r>
    </w:p>
    <w:tbl>
      <w:tblPr>
        <w:tblStyle w:val="21"/>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875"/>
        <w:gridCol w:w="1530"/>
        <w:gridCol w:w="1530"/>
        <w:gridCol w:w="153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451" w:type="dxa"/>
            <w:gridSpan w:val="6"/>
            <w:shd w:val="clear" w:color="auto" w:fill="5B9BD5" w:themeFill="accent1"/>
            <w:vAlign w:val="center"/>
          </w:tcPr>
          <w:p>
            <w:pPr>
              <w:jc w:val="center"/>
              <w:rPr>
                <w:rFonts w:eastAsia="仿宋_GB2312"/>
                <w:snapToGrid w:val="0"/>
                <w:sz w:val="24"/>
                <w:szCs w:val="24"/>
              </w:rPr>
            </w:pPr>
            <w:r>
              <w:rPr>
                <w:rFonts w:hint="eastAsia" w:ascii="黑体" w:hAnsi="黑体" w:cs="黑体"/>
                <w:b/>
                <w:bCs/>
                <w:snapToGrid w:val="0"/>
                <w:sz w:val="21"/>
              </w:rPr>
              <w:t>专栏一   矿产资源开发利用与保护主要指标完成情况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4" w:type="dxa"/>
            <w:gridSpan w:val="2"/>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规划目标</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完成情况</w:t>
            </w:r>
          </w:p>
        </w:tc>
        <w:tc>
          <w:tcPr>
            <w:tcW w:w="887"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4" w:type="dxa"/>
            <w:gridSpan w:val="2"/>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矿业产值</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3800</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1748</w:t>
            </w:r>
          </w:p>
        </w:tc>
        <w:tc>
          <w:tcPr>
            <w:tcW w:w="887" w:type="dxa"/>
            <w:vMerge w:val="restart"/>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vMerge w:val="restart"/>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主要矿种开采总量</w:t>
            </w:r>
          </w:p>
        </w:tc>
        <w:tc>
          <w:tcPr>
            <w:tcW w:w="1875"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建筑用凝灰岩</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万吨</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6.08</w:t>
            </w:r>
          </w:p>
        </w:tc>
        <w:tc>
          <w:tcPr>
            <w:tcW w:w="887" w:type="dxa"/>
            <w:vMerge w:val="continue"/>
            <w:shd w:val="clear" w:color="auto" w:fill="BDD6EE" w:themeFill="accent1" w:themeFillTint="66"/>
            <w:vAlign w:val="center"/>
          </w:tcPr>
          <w:p>
            <w:pPr>
              <w:jc w:val="center"/>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vMerge w:val="continue"/>
            <w:shd w:val="clear" w:color="auto" w:fill="BDD6EE" w:themeFill="accent1" w:themeFillTint="66"/>
            <w:vAlign w:val="center"/>
          </w:tcPr>
          <w:p>
            <w:pPr>
              <w:jc w:val="center"/>
              <w:rPr>
                <w:rFonts w:ascii="宋体" w:hAnsi="宋体" w:eastAsia="宋体" w:cs="宋体"/>
                <w:color w:val="000000"/>
                <w:kern w:val="0"/>
                <w:sz w:val="18"/>
                <w:szCs w:val="18"/>
              </w:rPr>
            </w:pPr>
          </w:p>
        </w:tc>
        <w:tc>
          <w:tcPr>
            <w:tcW w:w="1875"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建筑石料用灰岩</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万吨</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w:t>
            </w:r>
          </w:p>
        </w:tc>
        <w:tc>
          <w:tcPr>
            <w:tcW w:w="887" w:type="dxa"/>
            <w:vMerge w:val="continue"/>
            <w:shd w:val="clear" w:color="auto" w:fill="BDD6EE" w:themeFill="accent1" w:themeFillTint="66"/>
            <w:vAlign w:val="center"/>
          </w:tcPr>
          <w:p>
            <w:pPr>
              <w:jc w:val="center"/>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vMerge w:val="continue"/>
            <w:shd w:val="clear" w:color="auto" w:fill="BDD6EE" w:themeFill="accent1" w:themeFillTint="66"/>
            <w:vAlign w:val="center"/>
          </w:tcPr>
          <w:p>
            <w:pPr>
              <w:jc w:val="center"/>
              <w:rPr>
                <w:rFonts w:ascii="宋体" w:hAnsi="宋体" w:eastAsia="宋体" w:cs="宋体"/>
                <w:color w:val="000000"/>
                <w:kern w:val="0"/>
                <w:sz w:val="18"/>
                <w:szCs w:val="18"/>
              </w:rPr>
            </w:pPr>
          </w:p>
        </w:tc>
        <w:tc>
          <w:tcPr>
            <w:tcW w:w="1875"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砖瓦用粘土</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万吨</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92.70</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12.81</w:t>
            </w:r>
          </w:p>
        </w:tc>
        <w:tc>
          <w:tcPr>
            <w:tcW w:w="887" w:type="dxa"/>
            <w:vMerge w:val="continue"/>
            <w:shd w:val="clear" w:color="auto" w:fill="BDD6EE" w:themeFill="accent1" w:themeFillTint="66"/>
            <w:vAlign w:val="center"/>
          </w:tcPr>
          <w:p>
            <w:pPr>
              <w:jc w:val="center"/>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vMerge w:val="restart"/>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矿产资源开发利用规模结构</w:t>
            </w:r>
          </w:p>
        </w:tc>
        <w:tc>
          <w:tcPr>
            <w:tcW w:w="1875"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矿山数量</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530" w:type="dxa"/>
            <w:shd w:val="clear" w:color="auto" w:fill="BDD6EE" w:themeFill="accent1" w:themeFillTint="66"/>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887" w:type="dxa"/>
            <w:vMerge w:val="restart"/>
            <w:shd w:val="clear" w:color="auto" w:fill="BDD6EE" w:themeFill="accent1" w:themeFillTint="66"/>
            <w:vAlign w:val="center"/>
          </w:tcPr>
          <w:p>
            <w:pPr>
              <w:jc w:val="center"/>
              <w:rPr>
                <w:rFonts w:eastAsia="仿宋_GB2312"/>
                <w:snapToGrid w:val="0"/>
                <w:sz w:val="24"/>
                <w:szCs w:val="24"/>
              </w:rPr>
            </w:pPr>
            <w:r>
              <w:rPr>
                <w:rFonts w:hint="eastAsia" w:ascii="宋体" w:hAnsi="宋体" w:eastAsia="宋体" w:cs="宋体"/>
                <w:snapToGrid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vMerge w:val="continue"/>
            <w:shd w:val="clear" w:color="auto" w:fill="BDD6EE" w:themeFill="accent1" w:themeFillTint="66"/>
            <w:vAlign w:val="center"/>
          </w:tcPr>
          <w:p>
            <w:pPr>
              <w:jc w:val="center"/>
              <w:rPr>
                <w:rFonts w:ascii="宋体" w:hAnsi="宋体" w:eastAsia="宋体" w:cs="宋体"/>
                <w:color w:val="000000"/>
                <w:kern w:val="0"/>
                <w:sz w:val="18"/>
                <w:szCs w:val="18"/>
              </w:rPr>
            </w:pPr>
          </w:p>
        </w:tc>
        <w:tc>
          <w:tcPr>
            <w:tcW w:w="1875" w:type="dxa"/>
            <w:shd w:val="clear" w:color="auto" w:fill="BDD6EE" w:themeFill="accent1" w:themeFillTint="66"/>
            <w:vAlign w:val="center"/>
          </w:tcPr>
          <w:p>
            <w:pPr>
              <w:jc w:val="center"/>
              <w:rPr>
                <w:rFonts w:ascii="宋体" w:hAnsi="宋体" w:eastAsia="宋体" w:cs="宋体"/>
                <w:sz w:val="18"/>
                <w:szCs w:val="18"/>
              </w:rPr>
            </w:pPr>
            <w:r>
              <w:rPr>
                <w:rFonts w:hint="eastAsia" w:ascii="宋体" w:hAnsi="宋体" w:eastAsia="宋体" w:cs="宋体"/>
                <w:sz w:val="18"/>
                <w:szCs w:val="18"/>
              </w:rPr>
              <w:t>矿山“三率”水平</w:t>
            </w:r>
          </w:p>
          <w:p>
            <w:pPr>
              <w:jc w:val="center"/>
              <w:rPr>
                <w:rFonts w:ascii="宋体" w:hAnsi="宋体" w:eastAsia="宋体" w:cs="宋体"/>
                <w:sz w:val="18"/>
                <w:szCs w:val="18"/>
              </w:rPr>
            </w:pPr>
            <w:r>
              <w:rPr>
                <w:rFonts w:hint="eastAsia" w:ascii="宋体" w:hAnsi="宋体" w:eastAsia="宋体" w:cs="宋体"/>
                <w:sz w:val="18"/>
                <w:szCs w:val="18"/>
              </w:rPr>
              <w:t>达标率</w:t>
            </w:r>
          </w:p>
        </w:tc>
        <w:tc>
          <w:tcPr>
            <w:tcW w:w="1530" w:type="dxa"/>
            <w:shd w:val="clear" w:color="auto" w:fill="BDD6EE" w:themeFill="accent1" w:themeFillTint="66"/>
            <w:vAlign w:val="center"/>
          </w:tcPr>
          <w:p>
            <w:pPr>
              <w:ind w:right="101"/>
              <w:jc w:val="center"/>
              <w:rPr>
                <w:rFonts w:ascii="宋体" w:hAnsi="宋体" w:eastAsia="宋体" w:cs="宋体"/>
                <w:sz w:val="18"/>
                <w:szCs w:val="18"/>
              </w:rPr>
            </w:pPr>
            <w:r>
              <w:rPr>
                <w:rFonts w:hint="eastAsia" w:ascii="宋体" w:hAnsi="宋体" w:eastAsia="宋体" w:cs="宋体"/>
                <w:sz w:val="18"/>
                <w:szCs w:val="18"/>
              </w:rPr>
              <w:t>%</w:t>
            </w:r>
          </w:p>
        </w:tc>
        <w:tc>
          <w:tcPr>
            <w:tcW w:w="1530" w:type="dxa"/>
            <w:shd w:val="clear" w:color="auto" w:fill="BDD6EE" w:themeFill="accent1" w:themeFillTint="66"/>
            <w:vAlign w:val="center"/>
          </w:tcPr>
          <w:p>
            <w:pPr>
              <w:ind w:right="101"/>
              <w:jc w:val="center"/>
              <w:rPr>
                <w:rFonts w:ascii="宋体" w:hAnsi="宋体" w:eastAsia="宋体" w:cs="宋体"/>
                <w:sz w:val="18"/>
                <w:szCs w:val="18"/>
              </w:rPr>
            </w:pPr>
            <w:r>
              <w:rPr>
                <w:rFonts w:hint="eastAsia" w:ascii="宋体" w:hAnsi="宋体" w:eastAsia="宋体" w:cs="宋体"/>
                <w:sz w:val="18"/>
                <w:szCs w:val="18"/>
              </w:rPr>
              <w:t>100</w:t>
            </w:r>
          </w:p>
        </w:tc>
        <w:tc>
          <w:tcPr>
            <w:tcW w:w="1530" w:type="dxa"/>
            <w:shd w:val="clear" w:color="auto" w:fill="BDD6EE" w:themeFill="accent1" w:themeFillTint="66"/>
            <w:vAlign w:val="center"/>
          </w:tcPr>
          <w:p>
            <w:pPr>
              <w:ind w:right="101"/>
              <w:jc w:val="center"/>
              <w:rPr>
                <w:rFonts w:ascii="宋体" w:hAnsi="宋体" w:eastAsia="宋体" w:cs="宋体"/>
                <w:sz w:val="18"/>
                <w:szCs w:val="18"/>
              </w:rPr>
            </w:pPr>
            <w:r>
              <w:rPr>
                <w:rFonts w:hint="eastAsia" w:ascii="宋体" w:hAnsi="宋体" w:eastAsia="宋体" w:cs="宋体"/>
                <w:sz w:val="18"/>
                <w:szCs w:val="18"/>
              </w:rPr>
              <w:t>100</w:t>
            </w:r>
          </w:p>
        </w:tc>
        <w:tc>
          <w:tcPr>
            <w:tcW w:w="887" w:type="dxa"/>
            <w:vMerge w:val="continue"/>
            <w:shd w:val="clear" w:color="auto" w:fill="BDD6EE" w:themeFill="accent1" w:themeFillTint="66"/>
            <w:vAlign w:val="center"/>
          </w:tcPr>
          <w:p>
            <w:pPr>
              <w:jc w:val="center"/>
              <w:rPr>
                <w:rFonts w:eastAsia="仿宋_GB2312"/>
                <w:snapToGrid w:val="0"/>
                <w:sz w:val="24"/>
                <w:szCs w:val="24"/>
              </w:rPr>
            </w:pPr>
          </w:p>
        </w:tc>
      </w:tr>
    </w:tbl>
    <w:p>
      <w:pPr>
        <w:pStyle w:val="29"/>
        <w:widowControl w:val="0"/>
        <w:spacing w:before="120" w:beforeLines="50"/>
        <w:ind w:firstLine="602"/>
        <w:rPr>
          <w:rFonts w:cs="Times New Roman"/>
        </w:rPr>
      </w:pPr>
      <w:r>
        <w:rPr>
          <w:rFonts w:hint="eastAsia"/>
          <w:b/>
        </w:rPr>
        <w:t>二是矿业绿色发展有序推进。</w:t>
      </w:r>
      <w:r>
        <w:rPr>
          <w:rFonts w:hint="eastAsia"/>
        </w:rPr>
        <w:t>积极推进矿产资源开发规模化、集约化利用，提升矿业开发利用水平，加强共伴生矿产资源的综合利用，“三率”水平均达到开发利用方案设计指标。对产能低下、污染严重的小型矿山企业进行分批关停、整治，规划期间关停、整合小型矿山企业22家；2家矿山企业进行了改造提升，实现扩产增储；小型矿山集中开采效果初步显现，矿山“小、散、乱”的现状得到有效控制，矿业布局持续优化。积极推进绿色矿山建设，调整资源利用结构和布局，严格执行新建矿山准入管理制度，大力推进资源整合，提高了资源保护与节约、集约利用水平，推进了矿业经济可持续发展，生产矿山“三率”水平的达标率100%。</w:t>
      </w:r>
    </w:p>
    <w:p>
      <w:pPr>
        <w:pStyle w:val="29"/>
        <w:ind w:firstLine="602"/>
      </w:pPr>
      <w:r>
        <w:rPr>
          <w:rFonts w:hint="eastAsia"/>
          <w:b/>
        </w:rPr>
        <w:t>三是矿山地质环境恢复治理依规开展。</w:t>
      </w:r>
      <w:r>
        <w:rPr>
          <w:rFonts w:hint="eastAsia"/>
        </w:rPr>
        <w:t>规划期内全面落实规划的目标要求、矿山地质环境保护和治理恢复各项制度，完善了全县矿山地质环境保护与治理恢复管理体系，强化了矿山环境治理恢复基金的缴存和资金提取管理机制，督促生产矿山全部建立了矿山地质环境恢复治理基金账户，并进一步完善了基金使用的监管管理机制。规划期内，矿山地质环境治理恢复面积37.35公顷，其中生产矿山治理恢复面积13.04公顷，累计投入资金459.90万元。</w:t>
      </w:r>
    </w:p>
    <w:p>
      <w:pPr>
        <w:widowControl w:val="0"/>
        <w:spacing w:line="360" w:lineRule="auto"/>
        <w:ind w:firstLine="602" w:firstLineChars="200"/>
        <w:jc w:val="both"/>
        <w:rPr>
          <w:rFonts w:eastAsia="仿宋_GB2312"/>
          <w:snapToGrid w:val="0"/>
          <w:sz w:val="30"/>
        </w:rPr>
      </w:pPr>
      <w:r>
        <w:rPr>
          <w:rFonts w:hint="eastAsia" w:ascii="仿宋" w:hAnsi="仿宋" w:eastAsia="仿宋" w:cs="宋体"/>
          <w:b/>
          <w:color w:val="000000"/>
          <w:sz w:val="30"/>
          <w:szCs w:val="30"/>
        </w:rPr>
        <w:t>四是矿政管理水平进一步提高。</w:t>
      </w:r>
      <w:r>
        <w:rPr>
          <w:rFonts w:hint="eastAsia" w:eastAsia="仿宋_GB2312"/>
          <w:snapToGrid w:val="0"/>
          <w:sz w:val="30"/>
        </w:rPr>
        <w:t>全面落实国家、省、市矿产资源管理政策，深化“放管服”改革；积极推进矿业权竞争出让，健全公开招标、拍卖、挂牌等矿业权交易规则；强化勘查开发准入制度和储量动态监测，健全矿业权协查机制，规范矿业权评估管理，扎实开展矿业权人勘查开采信息公示，推进绿色矿山建设，健全矿山地质环境恢复治理基金制度；严格矿山卫片执法检查，健全动态巡查工作机制，切实履行生态保护职责，矿业秩序持续好转，管理水平明显提升。</w:t>
      </w:r>
    </w:p>
    <w:p>
      <w:pPr>
        <w:pStyle w:val="4"/>
        <w:adjustRightInd w:val="0"/>
        <w:snapToGrid w:val="0"/>
        <w:spacing w:line="360" w:lineRule="auto"/>
        <w:ind w:firstLine="640" w:firstLineChars="200"/>
      </w:pPr>
      <w:bookmarkStart w:id="3" w:name="_Toc24413"/>
      <w:r>
        <w:rPr>
          <w:rFonts w:hint="eastAsia"/>
        </w:rPr>
        <w:t xml:space="preserve">二 </w:t>
      </w:r>
      <w:r>
        <w:t xml:space="preserve"> </w:t>
      </w:r>
      <w:r>
        <w:rPr>
          <w:rFonts w:hint="eastAsia"/>
        </w:rPr>
        <w:t>形势与要求</w:t>
      </w:r>
      <w:bookmarkEnd w:id="3"/>
    </w:p>
    <w:p>
      <w:pPr>
        <w:pStyle w:val="29"/>
        <w:widowControl w:val="0"/>
        <w:ind w:firstLine="600"/>
      </w:pPr>
      <w:r>
        <w:rPr>
          <w:rFonts w:hint="eastAsia"/>
        </w:rPr>
        <w:t>从区位上看，新时代国家共建“一带一路”、推进西部大开发形成新格局，黄河流域生态保护和高质量发展等国家重大决策部署深入实施，以及加快构建新发展格局、全面推进乡村振兴等重大举措，有利于会宁县拓宽矿业发展空间，将矿产资源发展转化为经济发展。</w:t>
      </w:r>
    </w:p>
    <w:p>
      <w:pPr>
        <w:pStyle w:val="29"/>
        <w:widowControl w:val="0"/>
        <w:ind w:firstLine="600"/>
      </w:pPr>
      <w:r>
        <w:rPr>
          <w:rFonts w:hint="eastAsia"/>
        </w:rPr>
        <w:t>从发展方向上看，新时代要求会宁县提高矿产资源勘查、开发与保护水平，优化矿业结构布局、拓展矿业发展空间、激发矿业发展活力，努力提高资源利用效率，推进资源总量管理、科学配置、全面节约、循环利用。</w:t>
      </w:r>
    </w:p>
    <w:p>
      <w:pPr>
        <w:pStyle w:val="29"/>
        <w:ind w:firstLine="600"/>
        <w:sectPr>
          <w:headerReference r:id="rId8" w:type="default"/>
          <w:footerReference r:id="rId9" w:type="default"/>
          <w:type w:val="continuous"/>
          <w:pgSz w:w="11906" w:h="16838"/>
          <w:pgMar w:top="1701" w:right="1797" w:bottom="1985" w:left="1797" w:header="851" w:footer="992" w:gutter="0"/>
          <w:cols w:space="425" w:num="1"/>
          <w:docGrid w:linePitch="312" w:charSpace="0"/>
        </w:sectPr>
      </w:pPr>
      <w:r>
        <w:rPr>
          <w:rFonts w:hint="eastAsia"/>
        </w:rPr>
        <w:t>面对战略机遇的同时，也面临一些挑战。</w:t>
      </w:r>
      <w:r>
        <w:rPr>
          <w:rFonts w:hint="eastAsia" w:cs="Times New Roman"/>
          <w:b/>
        </w:rPr>
        <w:t>一</w:t>
      </w:r>
      <w:r>
        <w:rPr>
          <w:rFonts w:cs="Times New Roman"/>
          <w:b/>
        </w:rPr>
        <w:t>是矿产资源</w:t>
      </w:r>
      <w:r>
        <w:rPr>
          <w:rFonts w:hint="eastAsia" w:cs="Times New Roman"/>
          <w:b/>
        </w:rPr>
        <w:t>种类较少</w:t>
      </w:r>
      <w:r>
        <w:rPr>
          <w:rFonts w:cs="Times New Roman"/>
          <w:b/>
        </w:rPr>
        <w:t>，后备资源接替保障能力不足。</w:t>
      </w:r>
      <w:r>
        <w:rPr>
          <w:rFonts w:hint="eastAsia"/>
        </w:rPr>
        <w:t>会宁县矿产资源种类相对贫乏，现有矿产资源主要为建筑用石料、砖瓦用粘土，</w:t>
      </w:r>
      <w:r>
        <w:rPr>
          <w:rFonts w:cs="Times New Roman"/>
        </w:rPr>
        <w:t>除砖瓦用粘土基本可满足需求外，其它矿产资源储量与经济社会发展的需求差距较大，资源保证程度较低，难以满足长远发展需求。</w:t>
      </w:r>
      <w:r>
        <w:rPr>
          <w:rFonts w:hint="eastAsia"/>
          <w:b/>
        </w:rPr>
        <w:t>二是矿产资源勘查矿种单一，勘查资金投入不足。</w:t>
      </w:r>
      <w:r>
        <w:rPr>
          <w:rFonts w:hint="eastAsia"/>
        </w:rPr>
        <w:t>上轮规划设置的芒硝资源的勘查项目未能实施，应引入政府投入和商业性投入，加大对建筑用石料、矿泉水的勘查，增加矿产资源对社会经济发展的保障力度。</w:t>
      </w:r>
      <w:r>
        <w:rPr>
          <w:rFonts w:hint="eastAsia"/>
          <w:b/>
        </w:rPr>
        <w:t>三是矿产资源开发利用结构与布局不合理的现象依然存在。</w:t>
      </w:r>
      <w:r>
        <w:rPr>
          <w:rFonts w:hint="eastAsia"/>
        </w:rPr>
        <w:t>上轮规划实施期间全县矿山空间布局结构进行了优化调整，但还不够彻底。全县均为小型矿山，部分矿山企业仍使用落后生产工艺，不利促进矿产规模化、集约化开发。矿产资源开发利用结构与布局依然不合理，有待进一步推进矿山改造升级，优化矿业布局，提高大中型矿山比例。</w:t>
      </w:r>
      <w:r>
        <w:rPr>
          <w:rFonts w:hint="eastAsia"/>
          <w:b/>
        </w:rPr>
        <w:t>四是</w:t>
      </w:r>
      <w:r>
        <w:rPr>
          <w:rFonts w:hint="eastAsia"/>
          <w:b/>
          <w:color w:val="000000" w:themeColor="text1"/>
          <w14:textFill>
            <w14:solidFill>
              <w14:schemeClr w14:val="tx1"/>
            </w14:solidFill>
          </w14:textFill>
        </w:rPr>
        <w:t>矿业高质量发展任重道远</w:t>
      </w:r>
      <w:r>
        <w:rPr>
          <w:rFonts w:hint="eastAsia"/>
          <w:b/>
        </w:rPr>
        <w:t>。</w:t>
      </w:r>
      <w:r>
        <w:rPr>
          <w:rFonts w:hint="eastAsia"/>
          <w:color w:val="000000" w:themeColor="text1"/>
          <w14:textFill>
            <w14:solidFill>
              <w14:schemeClr w14:val="tx1"/>
            </w14:solidFill>
          </w14:textFill>
        </w:rPr>
        <w:t>部分矿山企业生产规模小、技术设备落后；矿山企业对绿色矿山建设认识不足，与构建生态文明体系、促进绿色转型升级的要求仍有较大差距</w:t>
      </w:r>
      <w:r>
        <w:rPr>
          <w:rFonts w:hint="eastAsia"/>
        </w:rPr>
        <w:t>。</w:t>
      </w:r>
    </w:p>
    <w:p>
      <w:pPr>
        <w:pStyle w:val="3"/>
      </w:pPr>
      <w:bookmarkStart w:id="4" w:name="_Toc27063"/>
      <w:r>
        <w:rPr>
          <w:rFonts w:hint="eastAsia"/>
        </w:rPr>
        <w:t xml:space="preserve">第二章 </w:t>
      </w:r>
      <w:r>
        <w:t xml:space="preserve"> </w:t>
      </w:r>
      <w:r>
        <w:rPr>
          <w:rFonts w:hint="eastAsia"/>
        </w:rPr>
        <w:t>指导思想与规划目标</w:t>
      </w:r>
      <w:bookmarkEnd w:id="4"/>
    </w:p>
    <w:p>
      <w:pPr>
        <w:sectPr>
          <w:headerReference r:id="rId10" w:type="default"/>
          <w:pgSz w:w="11906" w:h="16838"/>
          <w:pgMar w:top="1701" w:right="1797" w:bottom="1985" w:left="1797" w:header="851" w:footer="992" w:gutter="0"/>
          <w:pgNumType w:chapStyle="1"/>
          <w:cols w:space="425" w:num="1"/>
          <w:docGrid w:linePitch="312" w:charSpace="0"/>
        </w:sectPr>
      </w:pPr>
    </w:p>
    <w:p>
      <w:pPr>
        <w:pStyle w:val="4"/>
        <w:adjustRightInd w:val="0"/>
        <w:snapToGrid w:val="0"/>
        <w:spacing w:line="360" w:lineRule="auto"/>
        <w:ind w:firstLine="640" w:firstLineChars="200"/>
      </w:pPr>
      <w:bookmarkStart w:id="5" w:name="_Toc28619"/>
      <w:r>
        <w:rPr>
          <w:rFonts w:hint="eastAsia"/>
        </w:rPr>
        <w:t xml:space="preserve">一 </w:t>
      </w:r>
      <w:r>
        <w:t xml:space="preserve"> </w:t>
      </w:r>
      <w:r>
        <w:rPr>
          <w:rFonts w:hint="eastAsia"/>
        </w:rPr>
        <w:t>指导思想</w:t>
      </w:r>
      <w:bookmarkEnd w:id="5"/>
    </w:p>
    <w:p>
      <w:pPr>
        <w:pStyle w:val="29"/>
        <w:ind w:firstLine="600"/>
      </w:pPr>
      <w:r>
        <w:rPr>
          <w:rFonts w:hint="eastAsia"/>
        </w:rPr>
        <w:t>以习近平新时代中国特色社会主义思想为指导，深入贯彻党的十九大和十九届历次全会精神，全面贯彻习近平生态文明思想，统筹推进“五位一体”总体布局，协调推进“四个全面”战略布局，深入落实习近平总书记对甘肃重要讲话和指示精神，紧扣国家生态安全、能源资源安全两个大局，落实新时期国家西部大开发战略、黄河流域生态保护和高质量发展战略，立足新发展阶段，贯彻新发展理念，融入新发展格局，以推动高质量发展为主题，以深化供给侧结构性改革为主线，以改革创新为根本动力，以提高矿产资源安全保障能力为目标，统筹发展与安全。提高开发利用水平，协同推进经济高质量发展和生态环境高水平保护，推进矿业开发转型升级，实现矿产资源由粗放式开发利用向科学有序、绿色环保、持续高质量发展转型。推进绿色低碳发展，认真践行“绿水青山就是金山银山”理念，准确把握新发展阶段、深入贯彻新发展理念、加快构建新发展格局。全面贯彻打造兰白都市圈率先发展、全省三次产业融合发展、西部创新发展“三个高地”目标，奋力谱写会宁现代化建设的时代篇章。</w:t>
      </w:r>
    </w:p>
    <w:p>
      <w:pPr>
        <w:pStyle w:val="4"/>
        <w:adjustRightInd w:val="0"/>
        <w:snapToGrid w:val="0"/>
        <w:spacing w:line="360" w:lineRule="auto"/>
        <w:ind w:firstLine="640" w:firstLineChars="200"/>
      </w:pPr>
      <w:bookmarkStart w:id="6" w:name="_Toc797"/>
      <w:r>
        <w:rPr>
          <w:rFonts w:hint="eastAsia"/>
        </w:rPr>
        <w:t xml:space="preserve">二 </w:t>
      </w:r>
      <w:r>
        <w:t xml:space="preserve"> </w:t>
      </w:r>
      <w:r>
        <w:rPr>
          <w:rFonts w:hint="eastAsia"/>
        </w:rPr>
        <w:t>基本原则</w:t>
      </w:r>
      <w:bookmarkEnd w:id="6"/>
    </w:p>
    <w:p>
      <w:pPr>
        <w:pStyle w:val="29"/>
        <w:ind w:firstLine="602"/>
      </w:pPr>
      <w:r>
        <w:rPr>
          <w:rFonts w:hint="eastAsia"/>
          <w:b/>
        </w:rPr>
        <w:t>（一）坚持总量调控、保障供应。</w:t>
      </w:r>
      <w:r>
        <w:rPr>
          <w:rFonts w:hint="eastAsia"/>
        </w:rPr>
        <w:t>全面分析矿产资源供需关系，强化资源总量管理，加强资源勘查开发与保护，优化和稳定矿产资源产业链、供应链，提高矿产资源供给质量，完善矿产储备体系，全面提高矿产资源安全保障能力。</w:t>
      </w:r>
    </w:p>
    <w:p>
      <w:pPr>
        <w:pStyle w:val="29"/>
        <w:widowControl w:val="0"/>
        <w:ind w:firstLine="602"/>
        <w:rPr>
          <w:b/>
        </w:rPr>
      </w:pPr>
      <w:r>
        <w:rPr>
          <w:rFonts w:hint="eastAsia"/>
          <w:b/>
          <w:bCs/>
        </w:rPr>
        <w:t>（二）坚持生态优先，绿色发展。</w:t>
      </w:r>
      <w:r>
        <w:rPr>
          <w:rFonts w:hint="eastAsia"/>
        </w:rPr>
        <w:t>深入贯彻“绿水青山就是金山银山”理念，严守生态红线，加强黄河流域生态环境保护，大力推进生态文明建设，统筹部署矿产资源勘查、开发利用和矿山生态保护，发展绿色矿业，实现生态保护和资源开发协同发展。</w:t>
      </w:r>
    </w:p>
    <w:p>
      <w:pPr>
        <w:pStyle w:val="29"/>
        <w:ind w:firstLine="602"/>
      </w:pPr>
      <w:r>
        <w:rPr>
          <w:rFonts w:hint="eastAsia"/>
          <w:b/>
        </w:rPr>
        <w:t>（三）坚持</w:t>
      </w:r>
      <w:r>
        <w:rPr>
          <w:rFonts w:hint="eastAsia"/>
          <w:b/>
          <w:bCs/>
        </w:rPr>
        <w:t>创新技术、推动改革。</w:t>
      </w:r>
      <w:r>
        <w:rPr>
          <w:rFonts w:hint="eastAsia"/>
        </w:rPr>
        <w:t>推动矿山企业加快转型发展，针对</w:t>
      </w:r>
      <w:r>
        <w:t>矿产资源管理重点领域和关键环节改革，依靠科技</w:t>
      </w:r>
      <w:r>
        <w:rPr>
          <w:rFonts w:hint="eastAsia"/>
        </w:rPr>
        <w:t>创新</w:t>
      </w:r>
      <w:r>
        <w:t>，大力发展矿产品精深加工，</w:t>
      </w:r>
      <w:r>
        <w:rPr>
          <w:rFonts w:hint="eastAsia"/>
        </w:rPr>
        <w:t>培育</w:t>
      </w:r>
      <w:r>
        <w:t>高新产业，延</w:t>
      </w:r>
      <w:r>
        <w:rPr>
          <w:rFonts w:hint="eastAsia"/>
        </w:rPr>
        <w:t>长产业链，提高产品附加值</w:t>
      </w:r>
      <w:r>
        <w:t>。</w:t>
      </w:r>
    </w:p>
    <w:p>
      <w:pPr>
        <w:pStyle w:val="29"/>
        <w:ind w:firstLine="602"/>
      </w:pPr>
      <w:r>
        <w:rPr>
          <w:rFonts w:hint="eastAsia"/>
          <w:b/>
        </w:rPr>
        <w:t>（四）坚持</w:t>
      </w:r>
      <w:r>
        <w:rPr>
          <w:rFonts w:hint="eastAsia"/>
          <w:b/>
          <w:bCs/>
        </w:rPr>
        <w:t>优化布局、协调发展。</w:t>
      </w:r>
      <w:r>
        <w:rPr>
          <w:rFonts w:hint="eastAsia"/>
        </w:rPr>
        <w:t>稳步提高大中型矿山比例，合理设置集中开采区，提升最低开采规模，控制矿山个数。充分发挥市场配置资源的作用，调整优化矿产资源开发利用结构布局，加强宏观调控，提高矿产资源开发利用和管理水平，形成协调有序的资源开发保护新格局</w:t>
      </w:r>
      <w:r>
        <w:t>。</w:t>
      </w:r>
    </w:p>
    <w:p>
      <w:pPr>
        <w:pStyle w:val="4"/>
        <w:adjustRightInd w:val="0"/>
        <w:snapToGrid w:val="0"/>
        <w:spacing w:line="360" w:lineRule="auto"/>
        <w:ind w:firstLine="640" w:firstLineChars="200"/>
      </w:pPr>
      <w:bookmarkStart w:id="7" w:name="_Toc22955"/>
      <w:r>
        <w:rPr>
          <w:rFonts w:hint="eastAsia"/>
        </w:rPr>
        <w:t xml:space="preserve">三 </w:t>
      </w:r>
      <w:r>
        <w:t xml:space="preserve"> </w:t>
      </w:r>
      <w:r>
        <w:rPr>
          <w:rFonts w:hint="eastAsia"/>
        </w:rPr>
        <w:t>规划目标</w:t>
      </w:r>
      <w:bookmarkEnd w:id="7"/>
    </w:p>
    <w:p>
      <w:pPr>
        <w:pStyle w:val="29"/>
        <w:ind w:firstLine="600"/>
      </w:pPr>
      <w:r>
        <w:rPr>
          <w:rFonts w:hint="eastAsia"/>
        </w:rPr>
        <w:t>到2025年，全县基本形成布局合理、开发有序、生态友好、管控有效、保障有力的矿产资源勘查、开发、利用新局面，矿业高质量发展迈上新台阶。</w:t>
      </w:r>
    </w:p>
    <w:p>
      <w:pPr>
        <w:pStyle w:val="29"/>
        <w:ind w:firstLine="600"/>
        <w:rPr>
          <w:rFonts w:ascii="仿宋_GB2312" w:hAnsi="仿宋" w:cs="Times New Roman"/>
          <w:szCs w:val="30"/>
        </w:rPr>
        <w:sectPr>
          <w:headerReference r:id="rId11" w:type="default"/>
          <w:type w:val="continuous"/>
          <w:pgSz w:w="11906" w:h="16838"/>
          <w:pgMar w:top="1701" w:right="1797" w:bottom="1985" w:left="1797" w:header="851" w:footer="992" w:gutter="0"/>
          <w:cols w:space="425" w:num="1"/>
          <w:docGrid w:linePitch="312" w:charSpace="0"/>
        </w:sectPr>
      </w:pPr>
    </w:p>
    <w:p>
      <w:pPr>
        <w:pStyle w:val="29"/>
        <w:widowControl w:val="0"/>
        <w:ind w:firstLine="602"/>
      </w:pPr>
      <w:r>
        <w:rPr>
          <w:rFonts w:hint="eastAsia"/>
          <w:b/>
        </w:rPr>
        <w:t>（一）矿产资源勘查力争新突破。</w:t>
      </w:r>
      <w:r>
        <w:rPr>
          <w:rFonts w:hint="eastAsia"/>
        </w:rPr>
        <w:t>积极争取地质勘查基金投资、规范引导商业性地质勘查资金投入，力争矿泉水勘查实现新突破，新增资源量400立方米/日，矿产资源持续供应能力不断增强。</w:t>
      </w:r>
    </w:p>
    <w:p>
      <w:pPr>
        <w:spacing w:line="360" w:lineRule="auto"/>
        <w:ind w:firstLine="602" w:firstLineChars="200"/>
        <w:rPr>
          <w:rFonts w:eastAsia="仿宋_GB2312"/>
          <w:snapToGrid w:val="0"/>
          <w:sz w:val="30"/>
        </w:rPr>
      </w:pPr>
      <w:r>
        <w:rPr>
          <w:rFonts w:hint="eastAsia" w:eastAsia="仿宋_GB2312"/>
          <w:b/>
          <w:snapToGrid w:val="0"/>
          <w:sz w:val="30"/>
        </w:rPr>
        <w:t>（二）矿产资源供应能力不断提高。</w:t>
      </w:r>
      <w:r>
        <w:rPr>
          <w:rFonts w:hint="eastAsia" w:eastAsia="仿宋_GB2312"/>
          <w:snapToGrid w:val="0"/>
          <w:sz w:val="30"/>
        </w:rPr>
        <w:t>调控矿产资源开发利用总量，提高矿产资源供给能力。2025年底全县主要固体矿产开采总量达到184万吨，矿业总产值突破1.4亿元。建筑用石料产量稳步提高，矿泉水勘查开发得到加强，供给结构持续优化。</w:t>
      </w:r>
    </w:p>
    <w:p>
      <w:pPr>
        <w:pStyle w:val="29"/>
        <w:ind w:firstLine="602"/>
      </w:pPr>
      <w:r>
        <w:rPr>
          <w:rFonts w:hint="eastAsia"/>
          <w:b/>
        </w:rPr>
        <w:t>（三）开发利用结构持续优化。</w:t>
      </w:r>
      <w:r>
        <w:rPr>
          <w:rFonts w:hint="eastAsia" w:ascii="仿宋_GB2312" w:cs="仿宋_GB2312" w:hAnsiTheme="minorHAnsi"/>
          <w:color w:val="000000"/>
          <w:kern w:val="0"/>
          <w:szCs w:val="30"/>
        </w:rPr>
        <w:t>严格执行最低开采规模准入，合理控制小型矿山数量，矿山规模化、集约化程度明显提高，资源开发利用结构得到优化，全县持证矿山企业总数控制在11个以内，大中型矿山比例提高至27%。促进砂石土规模开发利用，引导和支持生产要素聚集</w:t>
      </w:r>
      <w:r>
        <w:rPr>
          <w:rFonts w:hint="eastAsia"/>
        </w:rPr>
        <w:t>。</w:t>
      </w:r>
    </w:p>
    <w:p>
      <w:pPr>
        <w:pStyle w:val="29"/>
        <w:ind w:firstLine="602"/>
      </w:pPr>
      <w:r>
        <w:rPr>
          <w:rFonts w:hint="eastAsia"/>
          <w:b/>
        </w:rPr>
        <w:t>（四）</w:t>
      </w:r>
      <w:r>
        <w:rPr>
          <w:rFonts w:hint="eastAsia"/>
          <w:b/>
          <w:bCs/>
        </w:rPr>
        <w:t>资源利用效率不断提升。</w:t>
      </w:r>
      <w:r>
        <w:rPr>
          <w:rFonts w:hint="eastAsia" w:ascii="仿宋_GB2312"/>
          <w:szCs w:val="30"/>
        </w:rPr>
        <w:t>严格执行矿产资源开发开采回采率、选矿回收率、综合利用率考核标准，通过科技攻关和技术创新，矿产采选、回收利用等环节关键技术取得突破，资源综合利用水平不断提高</w:t>
      </w:r>
      <w:r>
        <w:rPr>
          <w:rFonts w:hint="eastAsia"/>
        </w:rPr>
        <w:t>。</w:t>
      </w:r>
    </w:p>
    <w:p>
      <w:pPr>
        <w:pStyle w:val="29"/>
        <w:widowControl w:val="0"/>
        <w:ind w:firstLine="602"/>
      </w:pPr>
      <w:r>
        <w:rPr>
          <w:rFonts w:hint="eastAsia"/>
          <w:b/>
        </w:rPr>
        <w:t>（五）</w:t>
      </w:r>
      <w:r>
        <w:rPr>
          <w:rFonts w:hint="eastAsia"/>
          <w:b/>
          <w:bCs/>
        </w:rPr>
        <w:t>矿业绿色发展取得新成效。</w:t>
      </w:r>
      <w:r>
        <w:rPr>
          <w:rFonts w:hint="eastAsia"/>
        </w:rPr>
        <w:t>强化绿色发展政策保障，绿色勘查与绿色矿山建设有序推进，支持矿业绿色技术创新，推动节能减排，动态开展矿山生态修复。新建矿山严格按照绿色矿山建设标准进行规划、设计、建设和运营管理；生产矿山加快绿色升级改造，逐步达标。矿区生态环境明显好转，基本实现矿产资源勘查开发利用与自然生态和谐共生。</w:t>
      </w:r>
    </w:p>
    <w:p>
      <w:r>
        <w:rPr>
          <w:rFonts w:hint="eastAsia"/>
        </w:rPr>
        <w:br w:type="page"/>
      </w:r>
    </w:p>
    <w:tbl>
      <w:tblPr>
        <w:tblStyle w:val="21"/>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396"/>
        <w:gridCol w:w="1691"/>
        <w:gridCol w:w="185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7" w:type="dxa"/>
            <w:gridSpan w:val="5"/>
            <w:shd w:val="clear" w:color="auto" w:fill="5B9BD5" w:themeFill="accent1"/>
            <w:vAlign w:val="center"/>
          </w:tcPr>
          <w:p>
            <w:pPr>
              <w:jc w:val="center"/>
              <w:rPr>
                <w:rFonts w:eastAsia="仿宋_GB2312"/>
                <w:snapToGrid w:val="0"/>
                <w:sz w:val="24"/>
                <w:szCs w:val="24"/>
              </w:rPr>
            </w:pPr>
            <w:r>
              <w:rPr>
                <w:rFonts w:hint="eastAsia" w:ascii="黑体" w:hAnsi="黑体" w:cs="黑体"/>
                <w:b/>
                <w:bCs/>
                <w:snapToGrid w:val="0"/>
                <w:sz w:val="21"/>
              </w:rPr>
              <w:t>专栏二  矿产资源勘查开发主要指标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8" w:type="dxa"/>
            <w:gridSpan w:val="2"/>
            <w:shd w:val="clear" w:color="auto" w:fill="BDD6EE" w:themeFill="accent1" w:themeFillTint="66"/>
            <w:noWrap/>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指标名称</w:t>
            </w:r>
          </w:p>
        </w:tc>
        <w:tc>
          <w:tcPr>
            <w:tcW w:w="16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指标单位</w:t>
            </w:r>
          </w:p>
        </w:tc>
        <w:tc>
          <w:tcPr>
            <w:tcW w:w="1852"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规划目标</w:t>
            </w:r>
          </w:p>
        </w:tc>
        <w:tc>
          <w:tcPr>
            <w:tcW w:w="1556"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22" w:type="dxa"/>
            <w:shd w:val="clear" w:color="auto" w:fill="BDD6EE" w:themeFill="accent1" w:themeFillTint="66"/>
            <w:noWrap/>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新增查明资源量</w:t>
            </w:r>
          </w:p>
        </w:tc>
        <w:tc>
          <w:tcPr>
            <w:tcW w:w="1396"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矿泉水</w:t>
            </w:r>
          </w:p>
        </w:tc>
        <w:tc>
          <w:tcPr>
            <w:tcW w:w="16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立方米/日</w:t>
            </w:r>
          </w:p>
        </w:tc>
        <w:tc>
          <w:tcPr>
            <w:tcW w:w="1852"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400</w:t>
            </w:r>
          </w:p>
        </w:tc>
        <w:tc>
          <w:tcPr>
            <w:tcW w:w="1556" w:type="dxa"/>
            <w:vMerge w:val="restart"/>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22" w:type="dxa"/>
            <w:vMerge w:val="restart"/>
            <w:shd w:val="clear" w:color="auto" w:fill="BDD6EE" w:themeFill="accent1" w:themeFillTint="66"/>
            <w:noWrap/>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重要矿种</w:t>
            </w:r>
          </w:p>
          <w:p>
            <w:pPr>
              <w:jc w:val="center"/>
              <w:rPr>
                <w:rFonts w:ascii="宋体" w:hAnsi="宋体" w:eastAsia="宋体" w:cs="宋体"/>
                <w:snapToGrid w:val="0"/>
                <w:sz w:val="18"/>
                <w:szCs w:val="18"/>
              </w:rPr>
            </w:pPr>
            <w:r>
              <w:rPr>
                <w:rFonts w:hint="eastAsia" w:ascii="宋体" w:hAnsi="宋体" w:eastAsia="宋体" w:cs="宋体"/>
                <w:snapToGrid w:val="0"/>
                <w:sz w:val="18"/>
                <w:szCs w:val="18"/>
              </w:rPr>
              <w:t>开采总量</w:t>
            </w:r>
          </w:p>
        </w:tc>
        <w:tc>
          <w:tcPr>
            <w:tcW w:w="1396"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color w:val="000000"/>
                <w:sz w:val="18"/>
                <w:szCs w:val="18"/>
              </w:rPr>
              <w:t>建筑用石料</w:t>
            </w:r>
          </w:p>
        </w:tc>
        <w:tc>
          <w:tcPr>
            <w:tcW w:w="16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万吨</w:t>
            </w:r>
          </w:p>
        </w:tc>
        <w:tc>
          <w:tcPr>
            <w:tcW w:w="1852"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color w:val="000000"/>
                <w:sz w:val="18"/>
                <w:szCs w:val="18"/>
              </w:rPr>
              <w:t>100</w:t>
            </w:r>
          </w:p>
        </w:tc>
        <w:tc>
          <w:tcPr>
            <w:tcW w:w="1556" w:type="dxa"/>
            <w:vMerge w:val="continue"/>
            <w:shd w:val="clear" w:color="auto" w:fill="BDD6EE" w:themeFill="accent1" w:themeFillTint="66"/>
            <w:vAlign w:val="center"/>
          </w:tcPr>
          <w:p>
            <w:pPr>
              <w:jc w:val="center"/>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22" w:type="dxa"/>
            <w:vMerge w:val="continue"/>
            <w:shd w:val="clear" w:color="auto" w:fill="BDD6EE" w:themeFill="accent1" w:themeFillTint="66"/>
            <w:noWrap/>
            <w:vAlign w:val="center"/>
          </w:tcPr>
          <w:p>
            <w:pPr>
              <w:jc w:val="center"/>
              <w:rPr>
                <w:rFonts w:ascii="宋体" w:hAnsi="宋体" w:eastAsia="宋体" w:cs="宋体"/>
                <w:snapToGrid w:val="0"/>
                <w:color w:val="000000"/>
                <w:sz w:val="18"/>
                <w:szCs w:val="18"/>
              </w:rPr>
            </w:pPr>
          </w:p>
        </w:tc>
        <w:tc>
          <w:tcPr>
            <w:tcW w:w="1396" w:type="dxa"/>
            <w:shd w:val="clear" w:color="auto" w:fill="BDD6EE" w:themeFill="accent1" w:themeFillTint="66"/>
            <w:noWrap/>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砖瓦用粘土</w:t>
            </w:r>
          </w:p>
        </w:tc>
        <w:tc>
          <w:tcPr>
            <w:tcW w:w="16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万吨</w:t>
            </w:r>
          </w:p>
        </w:tc>
        <w:tc>
          <w:tcPr>
            <w:tcW w:w="1852"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84</w:t>
            </w:r>
          </w:p>
        </w:tc>
        <w:tc>
          <w:tcPr>
            <w:tcW w:w="1556" w:type="dxa"/>
            <w:vMerge w:val="continue"/>
            <w:shd w:val="clear" w:color="auto" w:fill="BDD6EE" w:themeFill="accent1" w:themeFillTint="66"/>
            <w:vAlign w:val="center"/>
          </w:tcPr>
          <w:p>
            <w:pPr>
              <w:jc w:val="center"/>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8" w:type="dxa"/>
            <w:gridSpan w:val="2"/>
            <w:shd w:val="clear" w:color="auto" w:fill="BDD6EE" w:themeFill="accent1" w:themeFillTint="66"/>
            <w:noWrap/>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矿业产值</w:t>
            </w:r>
          </w:p>
        </w:tc>
        <w:tc>
          <w:tcPr>
            <w:tcW w:w="16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亿元</w:t>
            </w:r>
          </w:p>
        </w:tc>
        <w:tc>
          <w:tcPr>
            <w:tcW w:w="1852"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1.4</w:t>
            </w:r>
          </w:p>
        </w:tc>
        <w:tc>
          <w:tcPr>
            <w:tcW w:w="1556" w:type="dxa"/>
            <w:vMerge w:val="continue"/>
            <w:shd w:val="clear" w:color="auto" w:fill="BDD6EE" w:themeFill="accent1" w:themeFillTint="66"/>
            <w:vAlign w:val="center"/>
          </w:tcPr>
          <w:p>
            <w:pPr>
              <w:jc w:val="center"/>
              <w:rPr>
                <w:rFonts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8" w:type="dxa"/>
            <w:gridSpan w:val="2"/>
            <w:shd w:val="clear" w:color="auto" w:fill="BDD6EE" w:themeFill="accent1" w:themeFillTint="66"/>
            <w:noWrap/>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矿山数量</w:t>
            </w:r>
          </w:p>
        </w:tc>
        <w:tc>
          <w:tcPr>
            <w:tcW w:w="1691"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个</w:t>
            </w:r>
          </w:p>
        </w:tc>
        <w:tc>
          <w:tcPr>
            <w:tcW w:w="1852"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11</w:t>
            </w:r>
          </w:p>
        </w:tc>
        <w:tc>
          <w:tcPr>
            <w:tcW w:w="1556" w:type="dxa"/>
            <w:vMerge w:val="restart"/>
            <w:shd w:val="clear" w:color="auto" w:fill="BDD6EE" w:themeFill="accent1" w:themeFillTint="66"/>
            <w:vAlign w:val="center"/>
          </w:tcPr>
          <w:p>
            <w:pPr>
              <w:jc w:val="center"/>
              <w:rPr>
                <w:rFonts w:eastAsia="仿宋_GB2312"/>
                <w:snapToGrid w:val="0"/>
                <w:sz w:val="24"/>
                <w:szCs w:val="24"/>
              </w:rPr>
            </w:pPr>
            <w:r>
              <w:rPr>
                <w:rFonts w:hint="eastAsia" w:ascii="宋体" w:hAnsi="宋体" w:eastAsia="宋体" w:cs="宋体"/>
                <w:snapToGrid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8" w:type="dxa"/>
            <w:gridSpan w:val="2"/>
            <w:shd w:val="clear" w:color="auto" w:fill="BDD6EE" w:themeFill="accent1" w:themeFillTint="66"/>
            <w:noWrap/>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砂石土矿山数量</w:t>
            </w:r>
          </w:p>
        </w:tc>
        <w:tc>
          <w:tcPr>
            <w:tcW w:w="1691"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个</w:t>
            </w:r>
          </w:p>
        </w:tc>
        <w:tc>
          <w:tcPr>
            <w:tcW w:w="1852"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11</w:t>
            </w:r>
          </w:p>
        </w:tc>
        <w:tc>
          <w:tcPr>
            <w:tcW w:w="1556" w:type="dxa"/>
            <w:vMerge w:val="continue"/>
            <w:shd w:val="clear" w:color="auto" w:fill="BDD6EE" w:themeFill="accent1" w:themeFillTint="66"/>
            <w:vAlign w:val="center"/>
          </w:tcPr>
          <w:p>
            <w:pPr>
              <w:jc w:val="center"/>
              <w:rPr>
                <w:rFonts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8" w:type="dxa"/>
            <w:gridSpan w:val="2"/>
            <w:shd w:val="clear" w:color="auto" w:fill="BDD6EE" w:themeFill="accent1" w:themeFillTint="66"/>
            <w:noWrap/>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大中型矿山比例</w:t>
            </w:r>
          </w:p>
        </w:tc>
        <w:tc>
          <w:tcPr>
            <w:tcW w:w="1691"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w:t>
            </w:r>
          </w:p>
        </w:tc>
        <w:tc>
          <w:tcPr>
            <w:tcW w:w="1852" w:type="dxa"/>
            <w:shd w:val="clear" w:color="auto" w:fill="BDD6EE" w:themeFill="accent1" w:themeFillTint="66"/>
            <w:vAlign w:val="center"/>
          </w:tcPr>
          <w:p>
            <w:pPr>
              <w:jc w:val="center"/>
              <w:rPr>
                <w:rFonts w:ascii="宋体" w:hAnsi="宋体" w:eastAsia="宋体" w:cs="宋体"/>
                <w:snapToGrid w:val="0"/>
                <w:color w:val="000000"/>
                <w:sz w:val="18"/>
                <w:szCs w:val="18"/>
              </w:rPr>
            </w:pPr>
            <w:r>
              <w:rPr>
                <w:rFonts w:hint="eastAsia" w:ascii="宋体" w:hAnsi="宋体" w:eastAsia="宋体" w:cs="宋体"/>
                <w:snapToGrid w:val="0"/>
                <w:color w:val="000000"/>
                <w:sz w:val="18"/>
                <w:szCs w:val="18"/>
              </w:rPr>
              <w:t>27</w:t>
            </w:r>
          </w:p>
        </w:tc>
        <w:tc>
          <w:tcPr>
            <w:tcW w:w="1556" w:type="dxa"/>
            <w:vMerge w:val="continue"/>
            <w:shd w:val="clear" w:color="auto" w:fill="BDD6EE" w:themeFill="accent1" w:themeFillTint="66"/>
            <w:vAlign w:val="center"/>
          </w:tcPr>
          <w:p>
            <w:pPr>
              <w:jc w:val="center"/>
              <w:rPr>
                <w:rFonts w:eastAsia="仿宋_GB2312"/>
                <w:snapToGrid w:val="0"/>
                <w:sz w:val="24"/>
                <w:szCs w:val="24"/>
              </w:rPr>
            </w:pPr>
          </w:p>
        </w:tc>
      </w:tr>
    </w:tbl>
    <w:p>
      <w:pPr>
        <w:pStyle w:val="29"/>
        <w:spacing w:before="120" w:beforeLines="50"/>
        <w:ind w:firstLine="602"/>
      </w:pPr>
      <w:r>
        <w:rPr>
          <w:rFonts w:hint="eastAsia"/>
          <w:b/>
        </w:rPr>
        <w:t>（六）矿产资源管理水平显著提升。</w:t>
      </w:r>
      <w:r>
        <w:rPr>
          <w:rFonts w:hint="eastAsia"/>
        </w:rPr>
        <w:t>继续深化矿产资源管理领域“放管服”改革，全面推进矿业权出让制度改革、储量管理改革；推进矿业权竞争出让，实施“净矿”出让；督促建设矿山加快投产、停产矿山复工复产，盘活现有资源，加强过期矿业权清理，持续提高依法行政水平，资源配置更趋合理高效。</w:t>
      </w:r>
    </w:p>
    <w:p>
      <w:pPr>
        <w:pStyle w:val="29"/>
        <w:widowControl w:val="0"/>
        <w:ind w:firstLine="640"/>
      </w:pPr>
      <w:r>
        <w:rPr>
          <w:rFonts w:hint="eastAsia" w:eastAsia="黑体" w:cstheme="majorBidi"/>
          <w:bCs/>
          <w:snapToGrid/>
          <w:sz w:val="32"/>
          <w:szCs w:val="32"/>
        </w:rPr>
        <w:t>——2035年远景展望</w:t>
      </w:r>
    </w:p>
    <w:p>
      <w:pPr>
        <w:pStyle w:val="29"/>
        <w:widowControl w:val="0"/>
        <w:ind w:firstLine="600"/>
        <w:sectPr>
          <w:headerReference r:id="rId12" w:type="default"/>
          <w:type w:val="continuous"/>
          <w:pgSz w:w="11906" w:h="16838"/>
          <w:pgMar w:top="1701" w:right="1797" w:bottom="1985" w:left="1797" w:header="851" w:footer="992" w:gutter="0"/>
          <w:cols w:space="425" w:num="1"/>
          <w:docGrid w:linePitch="312" w:charSpace="0"/>
        </w:sectPr>
      </w:pPr>
      <w:r>
        <w:rPr>
          <w:rFonts w:hint="eastAsia"/>
        </w:rPr>
        <w:t>继续加强基础性地质调查和矿产资源勘查，主要矿产资源储量有所增加，对重要靶区跟进调查；矿产资源开发利用总量、结构和布局得到进一步调控和改善，产业结构和产品结构调整取得显著效果；矿业开发集中度、规模效益和科技含量大幅提高，建筑用石料、矿泉水等产业链更趋完整，资源节约与综合利用水平达到新高度，矿业企业走上规模化、集约化经营的高质量发展道路。全面实施绿色勘查，全县生产矿山全部达到绿色矿山建设标准，矿山生态环境得到有效保护，矿产资源勘查开发与生态环境保护高度融合、协调，基本形成高质量发展格局。</w:t>
      </w:r>
      <w:r>
        <w:br w:type="page"/>
      </w:r>
    </w:p>
    <w:p>
      <w:pPr>
        <w:pStyle w:val="3"/>
      </w:pPr>
      <w:bookmarkStart w:id="8" w:name="_Toc24805"/>
      <w:r>
        <w:rPr>
          <w:rFonts w:hint="eastAsia"/>
        </w:rPr>
        <w:t xml:space="preserve">第三章 </w:t>
      </w:r>
      <w:r>
        <w:t xml:space="preserve"> </w:t>
      </w:r>
      <w:r>
        <w:rPr>
          <w:rFonts w:hint="eastAsia"/>
        </w:rPr>
        <w:t>规划布局</w:t>
      </w:r>
      <w:bookmarkEnd w:id="8"/>
    </w:p>
    <w:p>
      <w:pPr>
        <w:pStyle w:val="4"/>
        <w:adjustRightInd w:val="0"/>
        <w:snapToGrid w:val="0"/>
        <w:spacing w:line="360" w:lineRule="auto"/>
        <w:ind w:firstLine="640" w:firstLineChars="200"/>
      </w:pPr>
      <w:bookmarkStart w:id="9" w:name="_Toc13630"/>
      <w:r>
        <w:rPr>
          <w:rFonts w:hint="eastAsia"/>
        </w:rPr>
        <w:t xml:space="preserve">一 </w:t>
      </w:r>
      <w:r>
        <w:t xml:space="preserve"> </w:t>
      </w:r>
      <w:r>
        <w:rPr>
          <w:rFonts w:hint="eastAsia"/>
        </w:rPr>
        <w:t>矿产资源勘查开采调控方向</w:t>
      </w:r>
      <w:bookmarkEnd w:id="9"/>
    </w:p>
    <w:p>
      <w:pPr>
        <w:pStyle w:val="29"/>
        <w:ind w:firstLine="602"/>
        <w:rPr>
          <w:b/>
        </w:rPr>
      </w:pPr>
      <w:r>
        <w:rPr>
          <w:rFonts w:hint="eastAsia"/>
          <w:b/>
        </w:rPr>
        <w:t>（一）重点勘查调控方向</w:t>
      </w:r>
    </w:p>
    <w:p>
      <w:pPr>
        <w:pStyle w:val="29"/>
        <w:ind w:firstLine="600"/>
      </w:pPr>
      <w:r>
        <w:rPr>
          <w:rFonts w:hint="eastAsia"/>
        </w:rPr>
        <w:t>加大建筑用石料、矿泉水等矿产的勘查投入，持续提高资源保障能力。</w:t>
      </w:r>
    </w:p>
    <w:p>
      <w:pPr>
        <w:pStyle w:val="29"/>
        <w:ind w:firstLine="600"/>
        <w:rPr>
          <w:rFonts w:ascii="仿宋_GB2312"/>
          <w:szCs w:val="30"/>
        </w:rPr>
      </w:pPr>
      <w:r>
        <w:rPr>
          <w:rFonts w:hint="eastAsia" w:ascii="仿宋_GB2312" w:hAnsi="仿宋" w:cs="仿宋_GB2312"/>
          <w:color w:val="000000" w:themeColor="text1"/>
          <w:szCs w:val="30"/>
          <w14:textFill>
            <w14:solidFill>
              <w14:schemeClr w14:val="tx1"/>
            </w14:solidFill>
          </w14:textFill>
        </w:rPr>
        <w:t>以市场需求为导向，对建筑用石料、矿泉水加强勘查和储备。对已有矿山，补充开展地质工作，提高勘查程度，增加资源储量，扩大生产能力，延长服务年限，提高矿产资源保障能力。</w:t>
      </w:r>
    </w:p>
    <w:p>
      <w:pPr>
        <w:pStyle w:val="29"/>
        <w:ind w:firstLine="602"/>
        <w:rPr>
          <w:b/>
        </w:rPr>
      </w:pPr>
      <w:r>
        <w:rPr>
          <w:rFonts w:hint="eastAsia"/>
          <w:b/>
        </w:rPr>
        <w:t>（二）重点开发利用方向</w:t>
      </w:r>
    </w:p>
    <w:p>
      <w:pPr>
        <w:pStyle w:val="29"/>
        <w:ind w:firstLine="600"/>
        <w:rPr>
          <w:rFonts w:ascii="仿宋_GB2312" w:hAnsi="仿宋" w:cs="仿宋_GB2312"/>
          <w:color w:val="000000" w:themeColor="text1"/>
          <w:szCs w:val="30"/>
          <w14:textFill>
            <w14:solidFill>
              <w14:schemeClr w14:val="tx1"/>
            </w14:solidFill>
          </w14:textFill>
        </w:rPr>
      </w:pPr>
      <w:r>
        <w:rPr>
          <w:rFonts w:hint="eastAsia" w:ascii="仿宋_GB2312" w:hAnsi="仿宋" w:cs="仿宋_GB2312"/>
          <w:color w:val="000000" w:themeColor="text1"/>
          <w:szCs w:val="30"/>
          <w14:textFill>
            <w14:solidFill>
              <w14:schemeClr w14:val="tx1"/>
            </w14:solidFill>
          </w14:textFill>
        </w:rPr>
        <w:t>促进砂石行业高质量发展。为保障重点大型线性工程、阶段性大型工程和基础设施建设砂石需求，构建区域联动、供需平衡、绿色环保、集约发展的砂石资源开发格局，提升优质砂石供给能力，推动交通便利、市场前景良好的地区建设大中型规模以上机制砂石矿山，引导砂石生产企业转型升级。加快头寨子镇、丁家沟镇集中开采区的建设，通过资源勘查和现有矿山提升改造，建设大中型规模以上石料矿；鼓励建筑石料生产线改造提升、骨料机制砂生产线、混凝土生产线、新型节能中空塑料建筑模板及外墙保温一体板生产加工建设，促进尾矿综合循环再利用，提高固体废物综合利用水平。确保砂石矿山开采不留残山残坡，促进规模开发、整体修复。</w:t>
      </w:r>
    </w:p>
    <w:p>
      <w:pPr>
        <w:pStyle w:val="29"/>
        <w:ind w:firstLine="602"/>
        <w:rPr>
          <w:b/>
        </w:rPr>
      </w:pPr>
      <w:r>
        <w:rPr>
          <w:rFonts w:hint="eastAsia"/>
          <w:b/>
        </w:rPr>
        <w:t>（三）严守自然生态安全</w:t>
      </w:r>
    </w:p>
    <w:p>
      <w:pPr>
        <w:widowControl w:val="0"/>
        <w:adjustRightInd w:val="0"/>
        <w:snapToGrid w:val="0"/>
        <w:spacing w:line="360" w:lineRule="auto"/>
        <w:ind w:firstLine="600" w:firstLineChars="200"/>
        <w:rPr>
          <w:rFonts w:ascii="仿宋_GB2312" w:eastAsia="仿宋_GB2312"/>
          <w:snapToGrid w:val="0"/>
          <w:sz w:val="30"/>
        </w:rPr>
      </w:pPr>
      <w:r>
        <w:rPr>
          <w:rFonts w:hint="eastAsia" w:ascii="仿宋_GB2312" w:hAnsi="仿宋" w:eastAsia="仿宋_GB2312" w:cs="仿宋_GB2312"/>
          <w:snapToGrid w:val="0"/>
          <w:color w:val="000000" w:themeColor="text1"/>
          <w:sz w:val="30"/>
          <w:szCs w:val="30"/>
          <w14:textFill>
            <w14:solidFill>
              <w14:schemeClr w14:val="tx1"/>
            </w14:solidFill>
          </w14:textFill>
        </w:rPr>
        <w:t>严格实施国土空间管控措施，衔接落实区域“三线一单”生态环境分区管控要求。生态保护红线范围内原则上禁止不符合管控要求的矿产资源勘查开采。统筹处理好资源勘查开发与生态保护的关系。禁止开采可耕地砖瓦用粘土。</w:t>
      </w:r>
    </w:p>
    <w:p>
      <w:pPr>
        <w:pStyle w:val="29"/>
        <w:ind w:firstLine="640"/>
        <w:outlineLvl w:val="1"/>
        <w:rPr>
          <w:b/>
        </w:rPr>
      </w:pPr>
      <w:bookmarkStart w:id="10" w:name="_Toc6668"/>
      <w:r>
        <w:rPr>
          <w:rFonts w:hint="eastAsia" w:eastAsia="黑体" w:cstheme="majorBidi"/>
          <w:bCs/>
          <w:snapToGrid/>
          <w:sz w:val="32"/>
          <w:szCs w:val="32"/>
        </w:rPr>
        <w:t>二  强化勘查开采重点工作布局</w:t>
      </w:r>
      <w:bookmarkEnd w:id="10"/>
    </w:p>
    <w:p>
      <w:pPr>
        <w:pStyle w:val="29"/>
        <w:ind w:firstLine="602"/>
      </w:pPr>
      <w:r>
        <w:rPr>
          <w:rFonts w:hint="eastAsia"/>
          <w:b/>
          <w:bCs/>
        </w:rPr>
        <w:t>集中开采区：</w:t>
      </w:r>
      <w:r>
        <w:rPr>
          <w:rFonts w:hint="eastAsia"/>
        </w:rPr>
        <w:t>坚持“集中开发、规模开采”的原则，统筹部署、科学布局，在砂石土资源分布相对集中、开采条件较好、对城市或重要基础设施建设具有重要支撑作用的区域，划定会宁县头寨子镇宗家川建筑用石料集中开采区、会宁县丁家沟镇建筑用石料集中开采区等砂石土集中开采区2个，提高矿山最低开采规模。集中开采区要通过资源勘查和现有矿山提升改造，建设一批10万立方米/年以上规模矿山。</w:t>
      </w:r>
    </w:p>
    <w:p>
      <w:pPr>
        <w:pStyle w:val="29"/>
        <w:ind w:firstLine="600"/>
      </w:pPr>
      <w:r>
        <w:rPr>
          <w:rFonts w:hint="eastAsia"/>
        </w:rPr>
        <w:t>区内统筹矿产资源勘查开发，加强政策引导，加快基础设施建设，保障必要的用地需求。发挥产业聚集效应，发展规模经济、调整产业结构、开发技术含量高、附加值高的矿产品。在资源配置和相关产业政策方面给予重点支持，营造良好的开发环境。</w:t>
      </w:r>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91"/>
        <w:gridCol w:w="1065"/>
        <w:gridCol w:w="1215"/>
        <w:gridCol w:w="850"/>
        <w:gridCol w:w="850"/>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9" w:type="dxa"/>
            <w:gridSpan w:val="8"/>
            <w:shd w:val="clear" w:color="auto" w:fill="5B9BD5" w:themeFill="accent1"/>
            <w:vAlign w:val="center"/>
          </w:tcPr>
          <w:p>
            <w:pPr>
              <w:jc w:val="center"/>
              <w:rPr>
                <w:rFonts w:ascii="黑体" w:hAnsi="黑体" w:cs="黑体"/>
                <w:b/>
                <w:bCs/>
                <w:snapToGrid w:val="0"/>
                <w:sz w:val="21"/>
              </w:rPr>
            </w:pPr>
            <w:r>
              <w:rPr>
                <w:rFonts w:hint="eastAsia" w:ascii="黑体" w:hAnsi="黑体" w:cs="黑体"/>
                <w:b/>
                <w:bCs/>
                <w:snapToGrid w:val="0"/>
                <w:sz w:val="21"/>
              </w:rPr>
              <w:t>专栏三  会宁县矿产资源集中开采区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88"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序号</w:t>
            </w:r>
          </w:p>
        </w:tc>
        <w:tc>
          <w:tcPr>
            <w:tcW w:w="20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名称</w:t>
            </w:r>
          </w:p>
        </w:tc>
        <w:tc>
          <w:tcPr>
            <w:tcW w:w="1065"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主要开采矿种</w:t>
            </w:r>
          </w:p>
        </w:tc>
        <w:tc>
          <w:tcPr>
            <w:tcW w:w="1215"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面积</w:t>
            </w:r>
          </w:p>
          <w:p>
            <w:pPr>
              <w:jc w:val="center"/>
              <w:rPr>
                <w:rFonts w:ascii="宋体" w:hAnsi="宋体" w:eastAsia="宋体" w:cs="宋体"/>
                <w:snapToGrid w:val="0"/>
                <w:sz w:val="18"/>
                <w:szCs w:val="18"/>
              </w:rPr>
            </w:pPr>
            <w:r>
              <w:rPr>
                <w:rFonts w:hint="eastAsia" w:ascii="宋体" w:hAnsi="宋体" w:eastAsia="宋体" w:cs="宋体"/>
                <w:snapToGrid w:val="0"/>
                <w:sz w:val="18"/>
                <w:szCs w:val="18"/>
              </w:rPr>
              <w:t>（平方公里）</w:t>
            </w:r>
          </w:p>
        </w:tc>
        <w:tc>
          <w:tcPr>
            <w:tcW w:w="85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已设采矿权</w:t>
            </w:r>
          </w:p>
        </w:tc>
        <w:tc>
          <w:tcPr>
            <w:tcW w:w="85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拟设采矿权</w:t>
            </w:r>
          </w:p>
        </w:tc>
        <w:tc>
          <w:tcPr>
            <w:tcW w:w="103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最低开采规模</w:t>
            </w:r>
          </w:p>
        </w:tc>
        <w:tc>
          <w:tcPr>
            <w:tcW w:w="103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允许开采总量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88"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1</w:t>
            </w:r>
          </w:p>
        </w:tc>
        <w:tc>
          <w:tcPr>
            <w:tcW w:w="20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会宁县头寨子镇宗家川建筑用石料集中开采区</w:t>
            </w:r>
          </w:p>
        </w:tc>
        <w:tc>
          <w:tcPr>
            <w:tcW w:w="1065"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建筑用花岗岩</w:t>
            </w:r>
          </w:p>
        </w:tc>
        <w:tc>
          <w:tcPr>
            <w:tcW w:w="1215"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7.18</w:t>
            </w:r>
          </w:p>
        </w:tc>
        <w:tc>
          <w:tcPr>
            <w:tcW w:w="85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2</w:t>
            </w:r>
          </w:p>
        </w:tc>
        <w:tc>
          <w:tcPr>
            <w:tcW w:w="85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2</w:t>
            </w:r>
          </w:p>
        </w:tc>
        <w:tc>
          <w:tcPr>
            <w:tcW w:w="103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10万立方米/年</w:t>
            </w:r>
          </w:p>
        </w:tc>
        <w:tc>
          <w:tcPr>
            <w:tcW w:w="103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40万立方米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88"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2</w:t>
            </w:r>
          </w:p>
        </w:tc>
        <w:tc>
          <w:tcPr>
            <w:tcW w:w="2091"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会宁县丁家沟镇建筑用石料集中开采区</w:t>
            </w:r>
          </w:p>
        </w:tc>
        <w:tc>
          <w:tcPr>
            <w:tcW w:w="1065"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建筑石料用灰岩</w:t>
            </w:r>
          </w:p>
        </w:tc>
        <w:tc>
          <w:tcPr>
            <w:tcW w:w="1215" w:type="dxa"/>
            <w:shd w:val="clear" w:color="auto" w:fill="BDD6EE" w:themeFill="accent1" w:themeFillTint="66"/>
            <w:vAlign w:val="center"/>
          </w:tcPr>
          <w:p>
            <w:pPr>
              <w:jc w:val="center"/>
              <w:rPr>
                <w:rFonts w:ascii="宋体" w:hAnsi="宋体" w:eastAsia="宋体" w:cs="宋体"/>
                <w:snapToGrid w:val="0"/>
                <w:sz w:val="18"/>
                <w:szCs w:val="18"/>
              </w:rPr>
            </w:pPr>
            <w:r>
              <w:rPr>
                <w:rFonts w:ascii="宋体" w:hAnsi="宋体" w:eastAsia="宋体" w:cs="宋体"/>
                <w:snapToGrid w:val="0"/>
                <w:sz w:val="18"/>
                <w:szCs w:val="18"/>
              </w:rPr>
              <w:t>0.1367</w:t>
            </w:r>
          </w:p>
        </w:tc>
        <w:tc>
          <w:tcPr>
            <w:tcW w:w="850" w:type="dxa"/>
            <w:shd w:val="clear" w:color="auto" w:fill="BDD6EE" w:themeFill="accent1" w:themeFillTint="66"/>
            <w:vAlign w:val="center"/>
          </w:tcPr>
          <w:p>
            <w:pPr>
              <w:jc w:val="center"/>
              <w:rPr>
                <w:rFonts w:ascii="宋体" w:hAnsi="宋体" w:eastAsia="宋体" w:cs="宋体"/>
                <w:snapToGrid w:val="0"/>
                <w:sz w:val="18"/>
                <w:szCs w:val="18"/>
              </w:rPr>
            </w:pPr>
            <w:r>
              <w:rPr>
                <w:rFonts w:ascii="宋体" w:hAnsi="宋体" w:eastAsia="宋体" w:cs="宋体"/>
                <w:snapToGrid w:val="0"/>
                <w:sz w:val="18"/>
                <w:szCs w:val="18"/>
              </w:rPr>
              <w:t>0</w:t>
            </w:r>
          </w:p>
        </w:tc>
        <w:tc>
          <w:tcPr>
            <w:tcW w:w="85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1</w:t>
            </w:r>
          </w:p>
        </w:tc>
        <w:tc>
          <w:tcPr>
            <w:tcW w:w="103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10万立方米/年</w:t>
            </w:r>
          </w:p>
        </w:tc>
        <w:tc>
          <w:tcPr>
            <w:tcW w:w="1030" w:type="dxa"/>
            <w:shd w:val="clear" w:color="auto" w:fill="BDD6EE" w:themeFill="accent1" w:themeFillTint="66"/>
            <w:vAlign w:val="center"/>
          </w:tcPr>
          <w:p>
            <w:pPr>
              <w:jc w:val="center"/>
              <w:rPr>
                <w:rFonts w:ascii="宋体" w:hAnsi="宋体" w:eastAsia="宋体" w:cs="宋体"/>
                <w:snapToGrid w:val="0"/>
                <w:sz w:val="18"/>
                <w:szCs w:val="18"/>
              </w:rPr>
            </w:pPr>
            <w:r>
              <w:rPr>
                <w:rFonts w:hint="eastAsia" w:ascii="宋体" w:hAnsi="宋体" w:eastAsia="宋体" w:cs="宋体"/>
                <w:snapToGrid w:val="0"/>
                <w:sz w:val="18"/>
                <w:szCs w:val="18"/>
              </w:rPr>
              <w:t>20万立方米</w:t>
            </w:r>
          </w:p>
        </w:tc>
      </w:tr>
    </w:tbl>
    <w:p>
      <w:pPr>
        <w:pStyle w:val="29"/>
        <w:widowControl w:val="0"/>
        <w:spacing w:before="120" w:beforeLines="50"/>
        <w:ind w:firstLine="640"/>
        <w:outlineLvl w:val="1"/>
      </w:pPr>
      <w:bookmarkStart w:id="11" w:name="_Toc9794"/>
      <w:r>
        <w:rPr>
          <w:rFonts w:hint="eastAsia" w:eastAsia="黑体" w:cstheme="majorBidi"/>
          <w:bCs/>
          <w:snapToGrid/>
          <w:sz w:val="32"/>
          <w:szCs w:val="32"/>
        </w:rPr>
        <w:t>三  科学划定勘查开采规划区块</w:t>
      </w:r>
      <w:bookmarkEnd w:id="11"/>
    </w:p>
    <w:p>
      <w:pPr>
        <w:pStyle w:val="29"/>
        <w:ind w:firstLine="602"/>
      </w:pPr>
      <w:r>
        <w:rPr>
          <w:rFonts w:hint="eastAsia" w:ascii="仿宋_GB2312" w:cs="Times New Roman"/>
          <w:b/>
          <w:bCs/>
          <w:snapToGrid/>
          <w:szCs w:val="30"/>
        </w:rPr>
        <w:t>（1）勘查规划</w:t>
      </w:r>
      <w:r>
        <w:rPr>
          <w:rFonts w:hint="eastAsia"/>
          <w:b/>
          <w:bCs/>
        </w:rPr>
        <w:t>区块：</w:t>
      </w:r>
      <w:r>
        <w:rPr>
          <w:rFonts w:hint="eastAsia"/>
        </w:rPr>
        <w:t>落实上级规划勘查规划区块2个，勘查矿种全部为矿泉水。</w:t>
      </w:r>
    </w:p>
    <w:p>
      <w:pPr>
        <w:pStyle w:val="29"/>
        <w:widowControl w:val="0"/>
        <w:ind w:firstLine="600"/>
      </w:pPr>
      <w:r>
        <w:rPr>
          <w:rFonts w:hint="eastAsia"/>
        </w:rPr>
        <w:t>探矿权设置必须符合勘查规划区块管理要求，原则上一个勘查规划区块一个主体，必须与规划矿种方向一致，推动合理有序勘查。加强勘查规划区块动态管理机制，为依法审批和监督管理矿产资源勘查活动、合理配置资源提供参考依据。</w:t>
      </w:r>
    </w:p>
    <w:p>
      <w:pPr>
        <w:pStyle w:val="29"/>
        <w:ind w:firstLine="602"/>
      </w:pPr>
      <w:r>
        <w:rPr>
          <w:rFonts w:hint="eastAsia" w:ascii="仿宋_GB2312" w:cs="Times New Roman"/>
          <w:b/>
          <w:bCs/>
          <w:snapToGrid/>
          <w:szCs w:val="30"/>
        </w:rPr>
        <w:t>（2）开采规划</w:t>
      </w:r>
      <w:r>
        <w:rPr>
          <w:rFonts w:hint="eastAsia"/>
          <w:b/>
          <w:bCs/>
        </w:rPr>
        <w:t>区块</w:t>
      </w:r>
      <w:r>
        <w:rPr>
          <w:rFonts w:hint="eastAsia"/>
          <w:b/>
        </w:rPr>
        <w:t>：</w:t>
      </w:r>
      <w:r>
        <w:rPr>
          <w:rFonts w:hint="eastAsia"/>
        </w:rPr>
        <w:t>本规划设置开采规划区块8个。开采矿种为砖瓦用粘土7个，建筑用凝灰岩1个。</w:t>
      </w:r>
    </w:p>
    <w:p>
      <w:pPr>
        <w:pStyle w:val="29"/>
        <w:widowControl w:val="0"/>
        <w:ind w:firstLine="600"/>
        <w:rPr>
          <w:rFonts w:ascii="仿宋_GB2312" w:hAnsi="宋体" w:cs="Times New Roman"/>
          <w:sz w:val="28"/>
          <w:szCs w:val="28"/>
        </w:rPr>
      </w:pPr>
      <w:r>
        <w:rPr>
          <w:rFonts w:hint="eastAsia"/>
        </w:rPr>
        <w:t>采矿权设置区划必须符合规划分区管理要求，必须与规划矿种方向一致。原则上一个开采规划区块只设一个主体。应采取招拍挂等市场竞争方式公开出让采矿权。加强开采规划区块对采矿权投放的引导作用，完善开采规划区块动态管理机制。</w:t>
      </w:r>
    </w:p>
    <w:p>
      <w:pPr>
        <w:pStyle w:val="29"/>
        <w:ind w:firstLine="600"/>
        <w:sectPr>
          <w:headerReference r:id="rId14" w:type="first"/>
          <w:headerReference r:id="rId13" w:type="default"/>
          <w:footerReference r:id="rId15" w:type="default"/>
          <w:type w:val="continuous"/>
          <w:pgSz w:w="11906" w:h="16838"/>
          <w:pgMar w:top="1701" w:right="1797" w:bottom="1985" w:left="1797" w:header="851" w:footer="992" w:gutter="0"/>
          <w:cols w:space="425" w:num="1"/>
          <w:docGrid w:linePitch="598" w:charSpace="0"/>
        </w:sectPr>
      </w:pPr>
    </w:p>
    <w:p>
      <w:pPr>
        <w:pStyle w:val="3"/>
      </w:pPr>
      <w:bookmarkStart w:id="12" w:name="_Toc28974"/>
      <w:r>
        <w:rPr>
          <w:rFonts w:hint="eastAsia"/>
        </w:rPr>
        <w:t xml:space="preserve">第四章 </w:t>
      </w:r>
      <w:r>
        <w:t xml:space="preserve"> </w:t>
      </w:r>
      <w:r>
        <w:rPr>
          <w:rFonts w:hint="eastAsia"/>
        </w:rPr>
        <w:t>矿产资源勘查开发利用与保护</w:t>
      </w:r>
      <w:bookmarkEnd w:id="12"/>
    </w:p>
    <w:p>
      <w:pPr>
        <w:pStyle w:val="29"/>
        <w:tabs>
          <w:tab w:val="left" w:pos="3750"/>
        </w:tabs>
        <w:ind w:firstLine="0" w:firstLineChars="0"/>
        <w:sectPr>
          <w:headerReference r:id="rId16" w:type="first"/>
          <w:footerReference r:id="rId18" w:type="first"/>
          <w:footerReference r:id="rId17" w:type="default"/>
          <w:pgSz w:w="11906" w:h="16838"/>
          <w:pgMar w:top="1701" w:right="1797" w:bottom="1985" w:left="1797" w:header="851" w:footer="992" w:gutter="0"/>
          <w:cols w:space="425" w:num="1"/>
          <w:titlePg/>
          <w:docGrid w:linePitch="598" w:charSpace="0"/>
        </w:sectPr>
      </w:pPr>
    </w:p>
    <w:p>
      <w:pPr>
        <w:pStyle w:val="4"/>
        <w:adjustRightInd w:val="0"/>
        <w:snapToGrid w:val="0"/>
        <w:spacing w:line="360" w:lineRule="auto"/>
        <w:ind w:firstLine="640" w:firstLineChars="200"/>
      </w:pPr>
      <w:bookmarkStart w:id="13" w:name="_Toc9074"/>
      <w:r>
        <w:rPr>
          <w:rFonts w:hint="eastAsia"/>
        </w:rPr>
        <w:t xml:space="preserve">一 </w:t>
      </w:r>
      <w:r>
        <w:t xml:space="preserve"> </w:t>
      </w:r>
      <w:r>
        <w:rPr>
          <w:rFonts w:hint="eastAsia"/>
        </w:rPr>
        <w:t>合理确定开发强度</w:t>
      </w:r>
      <w:bookmarkEnd w:id="13"/>
    </w:p>
    <w:p>
      <w:pPr>
        <w:pStyle w:val="29"/>
        <w:ind w:firstLine="600"/>
        <w:rPr>
          <w:rFonts w:ascii="仿宋_GB2312" w:hAnsi="仿宋" w:cs="仿宋_GB2312"/>
          <w:color w:val="000000" w:themeColor="text1"/>
          <w:szCs w:val="30"/>
          <w14:textFill>
            <w14:solidFill>
              <w14:schemeClr w14:val="tx1"/>
            </w14:solidFill>
          </w14:textFill>
        </w:rPr>
      </w:pPr>
      <w:r>
        <w:rPr>
          <w:rFonts w:hint="eastAsia" w:ascii="仿宋_GB2312" w:hAnsi="仿宋" w:cs="仿宋_GB2312"/>
          <w:color w:val="000000" w:themeColor="text1"/>
          <w:szCs w:val="30"/>
          <w14:textFill>
            <w14:solidFill>
              <w14:schemeClr w14:val="tx1"/>
            </w14:solidFill>
          </w14:textFill>
        </w:rPr>
        <w:t>至2025年，矿山数量控制在11个以内，全县固体矿产开采总量达到184万吨，其中建筑用石料100万吨，砖瓦用粘土84万吨。按照区域生产规模适当高于市场需求总量的思路，重点保障城镇基础设施建设对砂石土资源的需求，合理调控砂石土开采总量。</w:t>
      </w:r>
    </w:p>
    <w:p>
      <w:pPr>
        <w:widowControl w:val="0"/>
        <w:spacing w:line="360" w:lineRule="auto"/>
        <w:ind w:firstLine="600" w:firstLineChars="200"/>
        <w:jc w:val="both"/>
        <w:rPr>
          <w:rFonts w:ascii="仿宋_GB2312" w:hAnsi="仿宋" w:eastAsia="仿宋_GB2312" w:cs="仿宋_GB2312"/>
          <w:snapToGrid w:val="0"/>
          <w:color w:val="000000" w:themeColor="text1"/>
          <w:sz w:val="30"/>
          <w:szCs w:val="30"/>
          <w14:textFill>
            <w14:solidFill>
              <w14:schemeClr w14:val="tx1"/>
            </w14:solidFill>
          </w14:textFill>
        </w:rPr>
      </w:pPr>
      <w:r>
        <w:rPr>
          <w:rFonts w:hint="eastAsia" w:ascii="仿宋_GB2312" w:hAnsi="仿宋" w:eastAsia="仿宋_GB2312" w:cs="仿宋_GB2312"/>
          <w:snapToGrid w:val="0"/>
          <w:color w:val="000000" w:themeColor="text1"/>
          <w:sz w:val="30"/>
          <w:szCs w:val="30"/>
          <w14:textFill>
            <w14:solidFill>
              <w14:schemeClr w14:val="tx1"/>
            </w14:solidFill>
          </w14:textFill>
        </w:rPr>
        <w:t>通过提高地质勘查程度、扩大生产规模、推进资源整合、合理控制小型矿山数量、促进企业增储转型等途径，提高矿产供应能力；加强矿山的巡查和专项检查，使矿产资源开发秩序持续好转。</w:t>
      </w:r>
    </w:p>
    <w:p>
      <w:pPr>
        <w:pStyle w:val="4"/>
        <w:keepLines w:val="0"/>
        <w:widowControl w:val="0"/>
        <w:adjustRightInd w:val="0"/>
        <w:snapToGrid w:val="0"/>
        <w:spacing w:line="360" w:lineRule="auto"/>
        <w:ind w:firstLine="640" w:firstLineChars="200"/>
      </w:pPr>
      <w:bookmarkStart w:id="14" w:name="_Toc28282"/>
      <w:r>
        <w:rPr>
          <w:rFonts w:hint="eastAsia"/>
        </w:rPr>
        <w:t xml:space="preserve">二 </w:t>
      </w:r>
      <w:r>
        <w:t xml:space="preserve"> </w:t>
      </w:r>
      <w:r>
        <w:rPr>
          <w:rFonts w:hint="eastAsia"/>
        </w:rPr>
        <w:t>优化开发利用规模结构</w:t>
      </w:r>
      <w:bookmarkEnd w:id="14"/>
    </w:p>
    <w:p>
      <w:pPr>
        <w:widowControl w:val="0"/>
        <w:spacing w:line="360" w:lineRule="auto"/>
        <w:ind w:firstLine="643" w:firstLineChars="200"/>
        <w:jc w:val="both"/>
        <w:rPr>
          <w:rFonts w:ascii="仿宋_GB2312" w:eastAsia="仿宋_GB2312" w:cs="Times New Roman"/>
          <w:b/>
          <w:sz w:val="30"/>
          <w:szCs w:val="30"/>
        </w:rPr>
      </w:pPr>
      <w:r>
        <w:rPr>
          <w:rFonts w:hint="eastAsia" w:eastAsia="仿宋_GB2312"/>
          <w:b/>
          <w:snapToGrid w:val="0"/>
          <w:sz w:val="32"/>
          <w:szCs w:val="32"/>
        </w:rPr>
        <w:t>（一）严格执行矿山最低开采规模设计标准</w:t>
      </w:r>
    </w:p>
    <w:p>
      <w:pPr>
        <w:widowControl w:val="0"/>
        <w:spacing w:line="360" w:lineRule="auto"/>
        <w:ind w:firstLine="600" w:firstLineChars="200"/>
        <w:jc w:val="both"/>
        <w:rPr>
          <w:rFonts w:ascii="仿宋_GB2312" w:hAnsi="仿宋" w:eastAsia="仿宋_GB2312" w:cs="仿宋_GB2312"/>
          <w:snapToGrid w:val="0"/>
          <w:color w:val="000000" w:themeColor="text1"/>
          <w:sz w:val="30"/>
          <w:szCs w:val="30"/>
          <w14:textFill>
            <w14:solidFill>
              <w14:schemeClr w14:val="tx1"/>
            </w14:solidFill>
          </w14:textFill>
        </w:rPr>
      </w:pPr>
      <w:r>
        <w:rPr>
          <w:rFonts w:hint="eastAsia" w:ascii="仿宋_GB2312" w:hAnsi="仿宋" w:eastAsia="仿宋_GB2312" w:cs="仿宋_GB2312"/>
          <w:snapToGrid w:val="0"/>
          <w:color w:val="000000" w:themeColor="text1"/>
          <w:sz w:val="30"/>
          <w:szCs w:val="30"/>
          <w14:textFill>
            <w14:solidFill>
              <w14:schemeClr w14:val="tx1"/>
            </w14:solidFill>
          </w14:textFill>
        </w:rPr>
        <w:t>新建矿山严格执行规划确定的矿山开采最低规模，坚持矿山设计开采规模与储量规模相适应原则，不符合要求的不得新立采矿权，规划期不再新</w:t>
      </w:r>
      <w:r>
        <w:rPr>
          <w:rFonts w:hint="eastAsia" w:ascii="仿宋_GB2312" w:eastAsia="仿宋_GB2312" w:cs="Times New Roman"/>
          <w:sz w:val="30"/>
          <w:szCs w:val="30"/>
        </w:rPr>
        <w:t>建5万立方米/年以下建</w:t>
      </w:r>
      <w:r>
        <w:rPr>
          <w:rFonts w:hint="eastAsia" w:ascii="仿宋_GB2312" w:hAnsi="仿宋" w:eastAsia="仿宋_GB2312" w:cs="仿宋_GB2312"/>
          <w:snapToGrid w:val="0"/>
          <w:color w:val="000000" w:themeColor="text1"/>
          <w:sz w:val="30"/>
          <w:szCs w:val="30"/>
          <w14:textFill>
            <w14:solidFill>
              <w14:schemeClr w14:val="tx1"/>
            </w14:solidFill>
          </w14:textFill>
        </w:rPr>
        <w:t>筑用石料、6万吨/年以下砖瓦用粘土矿。</w:t>
      </w:r>
    </w:p>
    <w:p>
      <w:pPr>
        <w:widowControl w:val="0"/>
        <w:spacing w:line="360" w:lineRule="auto"/>
        <w:ind w:firstLine="643" w:firstLineChars="200"/>
        <w:jc w:val="both"/>
        <w:rPr>
          <w:rFonts w:ascii="仿宋_GB2312" w:eastAsia="仿宋_GB2312" w:cs="Times New Roman"/>
          <w:b/>
          <w:sz w:val="30"/>
          <w:szCs w:val="30"/>
        </w:rPr>
      </w:pPr>
      <w:r>
        <w:rPr>
          <w:rFonts w:hint="eastAsia" w:eastAsia="仿宋_GB2312"/>
          <w:b/>
          <w:snapToGrid w:val="0"/>
          <w:sz w:val="32"/>
          <w:szCs w:val="32"/>
        </w:rPr>
        <w:t>（二）优化矿产资源开发利用结构</w:t>
      </w:r>
    </w:p>
    <w:p>
      <w:pPr>
        <w:widowControl w:val="0"/>
        <w:spacing w:line="360" w:lineRule="auto"/>
        <w:ind w:firstLine="600" w:firstLineChars="200"/>
        <w:jc w:val="both"/>
        <w:rPr>
          <w:rFonts w:ascii="仿宋_GB2312" w:eastAsia="仿宋_GB2312" w:cs="Times New Roman"/>
          <w:snapToGrid w:val="0"/>
          <w:sz w:val="30"/>
          <w:szCs w:val="30"/>
        </w:rPr>
      </w:pPr>
      <w:r>
        <w:rPr>
          <w:rFonts w:hint="eastAsia" w:ascii="仿宋_GB2312" w:eastAsia="仿宋_GB2312" w:cs="Times New Roman"/>
          <w:snapToGrid w:val="0"/>
          <w:sz w:val="30"/>
          <w:szCs w:val="30"/>
        </w:rPr>
        <w:t>调整矿山规模结构，推动矿产资源向具有主责主业优势、具有产业链优势的重点骨干企业聚集，优化资源配置，提高产业集中度和市场竞争力，逐步向“集中开采、规模开采、绿色开采”的发展模式迈进，会宁县头寨子镇集中开采区新建建筑石料矿山生产规模达到中型以上规模；现有砂石土矿山加强资源整合、提升生产规模，逐步达到大中型规模；砖瓦用粘土逐步淘汰落后产能，加快改造升级。至2025年，全县大中型矿山比例达到27%以上。</w:t>
      </w:r>
    </w:p>
    <w:p>
      <w:pPr>
        <w:widowControl w:val="0"/>
        <w:spacing w:line="360" w:lineRule="auto"/>
        <w:ind w:firstLine="643" w:firstLineChars="200"/>
        <w:jc w:val="both"/>
        <w:rPr>
          <w:rFonts w:ascii="仿宋_GB2312" w:eastAsia="仿宋_GB2312" w:cs="Times New Roman"/>
          <w:b/>
          <w:sz w:val="32"/>
          <w:szCs w:val="32"/>
        </w:rPr>
      </w:pPr>
      <w:r>
        <w:rPr>
          <w:rFonts w:hint="eastAsia" w:ascii="仿宋_GB2312" w:eastAsia="仿宋_GB2312" w:cs="Times New Roman"/>
          <w:b/>
          <w:sz w:val="32"/>
          <w:szCs w:val="32"/>
        </w:rPr>
        <w:t>（三）优化</w:t>
      </w:r>
      <w:r>
        <w:rPr>
          <w:rFonts w:ascii="仿宋_GB2312" w:eastAsia="仿宋_GB2312" w:cs="Times New Roman"/>
          <w:b/>
          <w:sz w:val="32"/>
          <w:szCs w:val="32"/>
        </w:rPr>
        <w:t>调整矿</w:t>
      </w:r>
      <w:r>
        <w:rPr>
          <w:rFonts w:hint="eastAsia" w:ascii="仿宋_GB2312" w:eastAsia="仿宋_GB2312" w:cs="Times New Roman"/>
          <w:b/>
          <w:sz w:val="32"/>
          <w:szCs w:val="32"/>
        </w:rPr>
        <w:t>产品</w:t>
      </w:r>
      <w:r>
        <w:rPr>
          <w:rFonts w:ascii="仿宋_GB2312" w:eastAsia="仿宋_GB2312" w:cs="Times New Roman"/>
          <w:b/>
          <w:sz w:val="32"/>
          <w:szCs w:val="32"/>
        </w:rPr>
        <w:t>结构</w:t>
      </w:r>
    </w:p>
    <w:p>
      <w:pPr>
        <w:widowControl w:val="0"/>
        <w:spacing w:line="360" w:lineRule="auto"/>
        <w:ind w:firstLine="600" w:firstLineChars="200"/>
        <w:jc w:val="both"/>
        <w:rPr>
          <w:rFonts w:ascii="仿宋_GB2312" w:eastAsia="仿宋_GB2312" w:cs="Times New Roman"/>
          <w:sz w:val="30"/>
          <w:szCs w:val="30"/>
        </w:rPr>
      </w:pPr>
      <w:r>
        <w:rPr>
          <w:rFonts w:hint="eastAsia" w:ascii="仿宋_GB2312" w:eastAsia="仿宋_GB2312" w:cs="Times New Roman"/>
          <w:sz w:val="30"/>
          <w:szCs w:val="30"/>
        </w:rPr>
        <w:t>优化矿产品加工方向，改变矿产品单一局面，从追求产量、产值转为追求质量和经济效益上来，发展具有高精加工、高附加值、环保节能型产品。推进我县区域内先进的开采设备和工艺，积极引导矿产资源在我县区域内就地转化，逐步实现矿业经济由资源拉动向产业支撑转变。建筑石料向新型建材产业转型，加快发展新型内外墙装饰、保温、防水材料以及环保涂料等建材产品；砖瓦用粘土积极改变发展理念，引进新技术、新设备应用，生产新型节能环保型产品，实现砖瓦产品的实用化、多样化、高质量发展。</w:t>
      </w:r>
    </w:p>
    <w:p>
      <w:pPr>
        <w:widowControl w:val="0"/>
        <w:spacing w:line="360" w:lineRule="auto"/>
        <w:ind w:firstLine="643" w:firstLineChars="200"/>
        <w:jc w:val="both"/>
        <w:rPr>
          <w:rFonts w:ascii="仿宋_GB2312" w:eastAsia="仿宋_GB2312" w:cs="Times New Roman"/>
          <w:b/>
          <w:sz w:val="32"/>
          <w:szCs w:val="32"/>
        </w:rPr>
      </w:pPr>
      <w:r>
        <w:rPr>
          <w:rFonts w:hint="eastAsia" w:ascii="仿宋_GB2312" w:eastAsia="仿宋_GB2312" w:cs="Times New Roman"/>
          <w:b/>
          <w:sz w:val="32"/>
          <w:szCs w:val="32"/>
        </w:rPr>
        <w:t>（四）加强资源节约与综合利用</w:t>
      </w:r>
    </w:p>
    <w:p>
      <w:pPr>
        <w:pStyle w:val="29"/>
        <w:widowControl w:val="0"/>
        <w:ind w:firstLine="600"/>
        <w:rPr>
          <w:snapToGrid/>
        </w:rPr>
      </w:pPr>
      <w:r>
        <w:rPr>
          <w:rFonts w:hint="eastAsia" w:ascii="仿宋_GB2312" w:cs="Times New Roman"/>
          <w:szCs w:val="30"/>
        </w:rPr>
        <w:t>加快建材产业结构和产品结构调整，加强石粉、泥粉、废石等资源化利用，通过技术改造升级，促进资源综合利用，形成以轻质墙体材料、装饰材料、环保涂料等重点新型建材业绿色节能环保发展格局</w:t>
      </w:r>
      <w:r>
        <w:rPr>
          <w:rFonts w:hint="eastAsia"/>
          <w:snapToGrid/>
        </w:rPr>
        <w:t>。</w:t>
      </w:r>
    </w:p>
    <w:p>
      <w:pPr>
        <w:pStyle w:val="4"/>
        <w:adjustRightInd w:val="0"/>
        <w:snapToGrid w:val="0"/>
        <w:spacing w:line="360" w:lineRule="auto"/>
        <w:ind w:firstLine="640" w:firstLineChars="200"/>
      </w:pPr>
      <w:bookmarkStart w:id="15" w:name="_Toc22300"/>
      <w:bookmarkStart w:id="16" w:name="_Toc27420"/>
      <w:r>
        <w:rPr>
          <w:rFonts w:hint="eastAsia"/>
        </w:rPr>
        <w:t xml:space="preserve">三 </w:t>
      </w:r>
      <w:r>
        <w:t xml:space="preserve"> </w:t>
      </w:r>
      <w:r>
        <w:rPr>
          <w:rFonts w:hint="eastAsia"/>
        </w:rPr>
        <w:t>严格规划准入管理</w:t>
      </w:r>
      <w:bookmarkEnd w:id="15"/>
      <w:bookmarkEnd w:id="16"/>
    </w:p>
    <w:p>
      <w:pPr>
        <w:pStyle w:val="29"/>
        <w:ind w:firstLine="602"/>
        <w:rPr>
          <w:snapToGrid/>
        </w:rPr>
      </w:pPr>
      <w:r>
        <w:rPr>
          <w:rFonts w:hint="eastAsia"/>
          <w:b/>
          <w:snapToGrid/>
        </w:rPr>
        <w:t>绿色勘查准入：</w:t>
      </w:r>
      <w:r>
        <w:rPr>
          <w:rFonts w:hint="eastAsia"/>
        </w:rPr>
        <w:t>矿产资源勘查项目严格按照绿色勘查规范执行，着力将绿色勘查理念贯穿于地勘项目实施全过程。完善绿色勘查管理制度，加大绿色勘查新理论、新方法、新技术、新设备和新工艺的研究与应用推广，推动绿色勘查全面实施，从源头上控制和减少对生态环境的扰动推进地质勘查和生态保护协调发展</w:t>
      </w:r>
      <w:r>
        <w:rPr>
          <w:rFonts w:hint="eastAsia"/>
          <w:snapToGrid/>
        </w:rPr>
        <w:t>。</w:t>
      </w:r>
    </w:p>
    <w:p>
      <w:pPr>
        <w:pStyle w:val="29"/>
        <w:ind w:firstLine="602"/>
        <w:rPr>
          <w:snapToGrid/>
        </w:rPr>
      </w:pPr>
      <w:r>
        <w:rPr>
          <w:rFonts w:hint="eastAsia"/>
          <w:b/>
          <w:snapToGrid/>
        </w:rPr>
        <w:t>开采规模准入：</w:t>
      </w:r>
      <w:r>
        <w:rPr>
          <w:rFonts w:hint="eastAsia"/>
        </w:rPr>
        <w:t>新建矿山开采规模不低于本规划规定的最低开采规模</w:t>
      </w:r>
      <w:r>
        <w:rPr>
          <w:rFonts w:hint="eastAsia"/>
          <w:snapToGrid/>
        </w:rPr>
        <w:t>。</w:t>
      </w:r>
    </w:p>
    <w:p>
      <w:pPr>
        <w:pStyle w:val="29"/>
        <w:ind w:firstLine="602"/>
        <w:rPr>
          <w:snapToGrid/>
        </w:rPr>
      </w:pPr>
      <w:r>
        <w:rPr>
          <w:rFonts w:hint="eastAsia"/>
          <w:b/>
          <w:snapToGrid/>
        </w:rPr>
        <w:t>开发利用水平准入：</w:t>
      </w:r>
      <w:r>
        <w:rPr>
          <w:rFonts w:hint="eastAsia"/>
        </w:rPr>
        <w:t>新建开发项目应选择国家鼓励、支持和推广对矿山生态环境破坏较小的先进设备、技术和工艺，禁止采用国家明文规定不得采用的限制类、淘汰类技术和设备；“三率”指标符合开发利用方案；对共伴生矿产有综合开发利用方案或保护措施；具备与矿山开采规模配套的人才、资金、技术和管理能力</w:t>
      </w:r>
      <w:r>
        <w:rPr>
          <w:rFonts w:hint="eastAsia"/>
          <w:snapToGrid/>
        </w:rPr>
        <w:t>。</w:t>
      </w:r>
    </w:p>
    <w:p>
      <w:pPr>
        <w:pStyle w:val="29"/>
        <w:widowControl w:val="0"/>
        <w:ind w:firstLine="602"/>
        <w:rPr>
          <w:snapToGrid/>
        </w:rPr>
      </w:pPr>
      <w:r>
        <w:rPr>
          <w:rFonts w:hint="eastAsia"/>
          <w:b/>
          <w:snapToGrid/>
        </w:rPr>
        <w:t>绿色矿山准入：</w:t>
      </w:r>
      <w:r>
        <w:rPr>
          <w:rFonts w:hint="eastAsia"/>
        </w:rPr>
        <w:t>新建矿山严格按照绿色矿山建设标准规划、设计、建设和运营管理，并与自然资源主管部门签订绿色矿山建设责任书，在矿业权出让合同中约定绿色矿山建设的相关要求</w:t>
      </w:r>
      <w:r>
        <w:rPr>
          <w:rFonts w:hint="eastAsia"/>
          <w:snapToGrid/>
        </w:rPr>
        <w:t>。</w:t>
      </w:r>
    </w:p>
    <w:p>
      <w:pPr>
        <w:pStyle w:val="4"/>
        <w:adjustRightInd w:val="0"/>
        <w:snapToGrid w:val="0"/>
        <w:spacing w:line="360" w:lineRule="auto"/>
        <w:ind w:firstLine="640" w:firstLineChars="200"/>
        <w:rPr>
          <w:b/>
        </w:rPr>
      </w:pPr>
      <w:bookmarkStart w:id="17" w:name="_Toc12921"/>
      <w:bookmarkStart w:id="18" w:name="_Toc10723"/>
      <w:r>
        <w:rPr>
          <w:rFonts w:hint="eastAsia"/>
        </w:rPr>
        <w:t xml:space="preserve">四 </w:t>
      </w:r>
      <w:r>
        <w:t xml:space="preserve"> </w:t>
      </w:r>
      <w:r>
        <w:rPr>
          <w:rFonts w:hint="eastAsia"/>
        </w:rPr>
        <w:t>强化开发监督管理</w:t>
      </w:r>
      <w:bookmarkEnd w:id="17"/>
      <w:bookmarkEnd w:id="18"/>
    </w:p>
    <w:p>
      <w:pPr>
        <w:pStyle w:val="29"/>
        <w:widowControl w:val="0"/>
        <w:spacing w:line="356" w:lineRule="auto"/>
        <w:ind w:firstLine="600"/>
      </w:pPr>
      <w:r>
        <w:rPr>
          <w:rFonts w:hint="eastAsia"/>
        </w:rPr>
        <w:t>加强矿产资源开发监督管理，将矿产资源保护与合理利用作为监管的重要内容，建立矿产资源节约集约利用动态监管机制，强化监督管理主体责任。</w:t>
      </w:r>
    </w:p>
    <w:p>
      <w:pPr>
        <w:pStyle w:val="29"/>
        <w:widowControl w:val="0"/>
        <w:spacing w:line="356" w:lineRule="auto"/>
        <w:ind w:firstLine="602"/>
      </w:pPr>
      <w:r>
        <w:rPr>
          <w:rFonts w:hint="eastAsia"/>
          <w:b/>
        </w:rPr>
        <w:t>规范矿产资源开发秩序。</w:t>
      </w:r>
      <w:r>
        <w:rPr>
          <w:rFonts w:hint="eastAsia"/>
        </w:rPr>
        <w:t>严格露天矿山开发管控，引导矿山规模集中规范开采，探索建立地方管控整治露天矿山的长效机制。根据安全、环保、质量、能耗等法律法规和产业政策，联合开展执法检查，对不符合规定的矿山企业进行整顿和管理，依法及时办理变更或注销登记。</w:t>
      </w:r>
    </w:p>
    <w:p>
      <w:pPr>
        <w:pStyle w:val="29"/>
        <w:widowControl w:val="0"/>
        <w:spacing w:line="356" w:lineRule="auto"/>
        <w:ind w:firstLine="602"/>
      </w:pPr>
      <w:r>
        <w:rPr>
          <w:rFonts w:hint="eastAsia"/>
          <w:b/>
        </w:rPr>
        <w:t>强化矿产资源开发监督管理。</w:t>
      </w:r>
      <w:r>
        <w:rPr>
          <w:rFonts w:hint="eastAsia"/>
        </w:rPr>
        <w:t>加强监督执法管理体系建设，强化重点环节监管，构建覆盖地质勘查、矿山建设、开发运营、闭坑修复全生命周期监管体系；严格矿业权人勘查开采信息公示制度，强化矿业权人异常名录和严重违法名单管理，对浪费资源问题突出、破坏生态环境、无证或越界开采、不履行法定义务等违法违规行为严肃查处，推动对违法和失信企业的联合惩戒，引导形成从业主体自治、行业自律、社会监督、政府监管的社会共治格局。</w:t>
      </w:r>
    </w:p>
    <w:p>
      <w:pPr>
        <w:pStyle w:val="29"/>
        <w:widowControl w:val="0"/>
        <w:spacing w:line="356" w:lineRule="auto"/>
        <w:ind w:firstLine="602"/>
        <w:sectPr>
          <w:headerReference r:id="rId19" w:type="default"/>
          <w:footerReference r:id="rId20" w:type="default"/>
          <w:type w:val="continuous"/>
          <w:pgSz w:w="11906" w:h="16838"/>
          <w:pgMar w:top="1701" w:right="1797" w:bottom="1985" w:left="1797" w:header="851" w:footer="992" w:gutter="0"/>
          <w:cols w:space="425" w:num="1"/>
          <w:docGrid w:linePitch="312" w:charSpace="0"/>
        </w:sectPr>
      </w:pPr>
      <w:r>
        <w:rPr>
          <w:rFonts w:hint="eastAsia"/>
          <w:b/>
        </w:rPr>
        <w:t>加强储量动态监督管理。</w:t>
      </w:r>
      <w:r>
        <w:rPr>
          <w:rFonts w:hint="eastAsia"/>
        </w:rPr>
        <w:t>加强矿产开发全程储量动态监督管理，充分利用储量动态监测成果，全面核实资源储量，对资源不清、储量不实的矿山企业，督促县级发证矿山企业补做地质工作，核实资源储量，及时履行储量评审备案。严格执行矿山储量监测制度，维护矿产资源国家所有者权益，保障采矿权人合法权益，督促矿山企业高效利用矿产资源。</w:t>
      </w:r>
      <w:r>
        <w:br w:type="page"/>
      </w:r>
    </w:p>
    <w:p>
      <w:pPr>
        <w:pStyle w:val="3"/>
      </w:pPr>
      <w:bookmarkStart w:id="19" w:name="_Toc18762"/>
      <w:r>
        <w:rPr>
          <w:rFonts w:hint="eastAsia"/>
        </w:rPr>
        <w:t xml:space="preserve">第五章 </w:t>
      </w:r>
      <w:r>
        <w:t xml:space="preserve"> </w:t>
      </w:r>
      <w:r>
        <w:rPr>
          <w:rFonts w:hint="eastAsia"/>
        </w:rPr>
        <w:t>推进矿业绿色发展</w:t>
      </w:r>
      <w:bookmarkEnd w:id="19"/>
    </w:p>
    <w:p>
      <w:pPr>
        <w:adjustRightInd w:val="0"/>
        <w:snapToGrid w:val="0"/>
        <w:spacing w:line="360" w:lineRule="auto"/>
        <w:ind w:firstLine="600" w:firstLineChars="200"/>
      </w:pPr>
      <w:r>
        <w:rPr>
          <w:rFonts w:hint="eastAsia" w:ascii="仿宋_GB2312" w:hAnsi="宋体" w:eastAsia="仿宋_GB2312"/>
          <w:snapToGrid w:val="0"/>
          <w:color w:val="000000" w:themeColor="text1"/>
          <w:sz w:val="30"/>
          <w:szCs w:val="30"/>
          <w14:textFill>
            <w14:solidFill>
              <w14:schemeClr w14:val="tx1"/>
            </w14:solidFill>
          </w14:textFill>
        </w:rPr>
        <w:t>坚持节约优先，保护优先，强化科技创新支撑，推进资源节约与综合利用，全面提高矿产资源利用效率，促进矿业绿色转型，深化矿产资源市场化改革。</w:t>
      </w:r>
    </w:p>
    <w:p>
      <w:pPr>
        <w:pStyle w:val="4"/>
        <w:adjustRightInd w:val="0"/>
        <w:snapToGrid w:val="0"/>
        <w:spacing w:line="360" w:lineRule="auto"/>
        <w:ind w:firstLine="640" w:firstLineChars="200"/>
      </w:pPr>
      <w:bookmarkStart w:id="20" w:name="_Toc24257"/>
      <w:bookmarkStart w:id="21" w:name="_Toc4109"/>
      <w:r>
        <w:rPr>
          <w:rFonts w:hint="eastAsia"/>
        </w:rPr>
        <w:t xml:space="preserve">一 </w:t>
      </w:r>
      <w:r>
        <w:t xml:space="preserve"> </w:t>
      </w:r>
      <w:r>
        <w:rPr>
          <w:rFonts w:hint="eastAsia"/>
        </w:rPr>
        <w:t>推进矿业技术创新</w:t>
      </w:r>
      <w:bookmarkEnd w:id="20"/>
      <w:r>
        <w:rPr>
          <w:rFonts w:hint="eastAsia"/>
        </w:rPr>
        <w:t>和综合利用</w:t>
      </w:r>
      <w:bookmarkEnd w:id="21"/>
    </w:p>
    <w:p>
      <w:pPr>
        <w:pStyle w:val="29"/>
        <w:ind w:firstLine="600"/>
        <w:rPr>
          <w:rFonts w:ascii="仿宋_GB2312" w:hAnsi="宋体"/>
          <w:color w:val="000000" w:themeColor="text1"/>
          <w:szCs w:val="30"/>
          <w14:textFill>
            <w14:solidFill>
              <w14:schemeClr w14:val="tx1"/>
            </w14:solidFill>
          </w14:textFill>
        </w:rPr>
      </w:pPr>
      <w:r>
        <w:rPr>
          <w:rFonts w:hint="eastAsia"/>
        </w:rPr>
        <w:t>严格执行矿产资源节约和综合利用鼓励、限制、淘汰技术目录，支持矿山企业技术、工艺和装备改造。围绕矿产资源开发利用的重点领域和关键环节，推进矿产资源全面节约、循环利用</w:t>
      </w:r>
      <w:r>
        <w:rPr>
          <w:rFonts w:hint="eastAsia" w:ascii="仿宋_GB2312" w:hAnsi="宋体" w:cs="Times New Roman"/>
          <w:color w:val="000000"/>
          <w:szCs w:val="30"/>
        </w:rPr>
        <w:t>。</w:t>
      </w:r>
      <w:r>
        <w:rPr>
          <w:rFonts w:hint="eastAsia" w:ascii="仿宋_GB2312" w:hAnsi="宋体"/>
          <w:szCs w:val="30"/>
        </w:rPr>
        <w:t>鼓励利用废石和卵石制备砂石骨料</w:t>
      </w:r>
      <w:r>
        <w:rPr>
          <w:rFonts w:hint="eastAsia" w:ascii="仿宋_GB2312" w:hAnsi="宋体" w:cs="Times New Roman"/>
          <w:color w:val="000000"/>
          <w:szCs w:val="30"/>
        </w:rPr>
        <w:t>；</w:t>
      </w:r>
      <w:r>
        <w:rPr>
          <w:rFonts w:hint="eastAsia"/>
        </w:rPr>
        <w:t>推广利用废石、石粉、等固体废物生产建材产品，提高矿山固体废弃物的综合利用水平。</w:t>
      </w:r>
      <w:r>
        <w:rPr>
          <w:rFonts w:hint="eastAsia" w:cs="Times New Roman"/>
          <w:szCs w:val="30"/>
        </w:rPr>
        <w:t>强化技术自主创新和引进消化吸收再创新，</w:t>
      </w:r>
      <w:r>
        <w:rPr>
          <w:rFonts w:hint="eastAsia" w:cs="Times New Roman"/>
          <w:color w:val="000000"/>
          <w:szCs w:val="30"/>
        </w:rPr>
        <w:t>解决矿产资源开发领域存在的技术瓶颈，提高重要矿产资源开采回采率和综合利用水平，建立科学合理的循环利用模式。</w:t>
      </w:r>
    </w:p>
    <w:p>
      <w:pPr>
        <w:pStyle w:val="4"/>
        <w:adjustRightInd w:val="0"/>
        <w:snapToGrid w:val="0"/>
        <w:spacing w:line="360" w:lineRule="auto"/>
        <w:ind w:firstLine="640" w:firstLineChars="200"/>
      </w:pPr>
      <w:bookmarkStart w:id="22" w:name="_Toc29854"/>
      <w:bookmarkStart w:id="23" w:name="_Toc18514"/>
      <w:r>
        <w:rPr>
          <w:rFonts w:hint="eastAsia"/>
        </w:rPr>
        <w:t xml:space="preserve">二 </w:t>
      </w:r>
      <w:r>
        <w:t xml:space="preserve"> </w:t>
      </w:r>
      <w:r>
        <w:rPr>
          <w:rFonts w:hint="eastAsia"/>
        </w:rPr>
        <w:t>全力推动绿色矿业发展</w:t>
      </w:r>
      <w:bookmarkEnd w:id="22"/>
      <w:bookmarkEnd w:id="23"/>
    </w:p>
    <w:p>
      <w:pPr>
        <w:pStyle w:val="29"/>
        <w:ind w:firstLine="643"/>
        <w:rPr>
          <w:b/>
          <w:szCs w:val="32"/>
        </w:rPr>
      </w:pPr>
      <w:r>
        <w:rPr>
          <w:rFonts w:hint="eastAsia"/>
          <w:b/>
          <w:sz w:val="32"/>
          <w:szCs w:val="36"/>
        </w:rPr>
        <w:t>（一）推进绿色勘查</w:t>
      </w:r>
    </w:p>
    <w:p>
      <w:pPr>
        <w:pStyle w:val="29"/>
        <w:ind w:firstLine="600"/>
        <w:rPr>
          <w:szCs w:val="32"/>
        </w:rPr>
      </w:pPr>
      <w:r>
        <w:rPr>
          <w:rFonts w:hint="eastAsia"/>
        </w:rPr>
        <w:t>加强创新驱动、科技研究和管理创新，加强绿色勘查新理论、新方法、新技术、新设备、新工艺的研究和推广应用，着力推进将绿色勘查理念贯穿于地勘项目设计、实施、验收全过程。大力研究推广遥感、物探结合浅钻、非常规地球化学勘查等绿色勘查技术，最大限度地避免或减轻勘查活动对生态环境的扰动和破坏。总结绿色勘查实施成就及经验。形成可复制、能推广的绿色勘查新模式、新机制、新制度，促进地质勘查和生态保护协调发展</w:t>
      </w:r>
      <w:r>
        <w:rPr>
          <w:rFonts w:hint="eastAsia"/>
          <w:szCs w:val="32"/>
        </w:rPr>
        <w:t>。</w:t>
      </w:r>
    </w:p>
    <w:p>
      <w:pPr>
        <w:pStyle w:val="29"/>
        <w:ind w:firstLine="643"/>
        <w:rPr>
          <w:b/>
          <w:szCs w:val="32"/>
        </w:rPr>
      </w:pPr>
      <w:r>
        <w:rPr>
          <w:rFonts w:hint="eastAsia"/>
          <w:b/>
          <w:sz w:val="32"/>
          <w:szCs w:val="36"/>
        </w:rPr>
        <w:t>（二）全面推进绿色矿山建设</w:t>
      </w:r>
    </w:p>
    <w:p>
      <w:pPr>
        <w:adjustRightInd w:val="0"/>
        <w:snapToGrid w:val="0"/>
        <w:spacing w:line="360" w:lineRule="auto"/>
        <w:ind w:firstLine="600" w:firstLineChars="200"/>
        <w:jc w:val="both"/>
        <w:rPr>
          <w:rFonts w:eastAsia="仿宋_GB2312"/>
          <w:snapToGrid w:val="0"/>
          <w:sz w:val="30"/>
        </w:rPr>
      </w:pPr>
      <w:r>
        <w:rPr>
          <w:rFonts w:hint="eastAsia" w:eastAsia="仿宋_GB2312"/>
          <w:snapToGrid w:val="0"/>
          <w:sz w:val="30"/>
        </w:rPr>
        <w:t>引导矿山企业积极落实绿色矿山建设的主体责任。新建矿山在采矿权出让过程中，政府应对照绿色矿山建设要求和标准，在出让合同中明确开发方式、资源利用、矿山地质环境保护与恢复治理、土地复垦等相关要求及违约责任，推动新建矿山按照绿色矿山标准要求进行规划、设计、建设和运营管理；督促大中型生产矿山制定升级改造方案，改进开发利用方式，加快改造升级进程，逐步达到绿色矿山的要求；小型矿山企业以及砂石粘土类矿山，要积极对照绿色矿山标准进行建设。依据省级绿色矿山建设标准，引领创建绿色矿山，加快改造升级实施进程。</w:t>
      </w:r>
    </w:p>
    <w:p>
      <w:pPr>
        <w:pStyle w:val="29"/>
        <w:ind w:firstLine="643"/>
        <w:rPr>
          <w:b/>
          <w:szCs w:val="32"/>
        </w:rPr>
      </w:pPr>
      <w:r>
        <w:rPr>
          <w:rFonts w:hint="eastAsia"/>
          <w:b/>
          <w:sz w:val="32"/>
          <w:szCs w:val="36"/>
        </w:rPr>
        <w:t>（三）整体提升资源开发利用效率</w:t>
      </w:r>
    </w:p>
    <w:p>
      <w:pPr>
        <w:adjustRightInd w:val="0"/>
        <w:snapToGrid w:val="0"/>
        <w:spacing w:line="360" w:lineRule="auto"/>
        <w:ind w:firstLine="600" w:firstLineChars="200"/>
        <w:jc w:val="both"/>
        <w:rPr>
          <w:rFonts w:eastAsia="仿宋_GB2312"/>
          <w:snapToGrid w:val="0"/>
          <w:sz w:val="30"/>
        </w:rPr>
      </w:pPr>
      <w:r>
        <w:rPr>
          <w:rFonts w:hint="eastAsia" w:eastAsia="仿宋_GB2312"/>
          <w:snapToGrid w:val="0"/>
          <w:sz w:val="30"/>
        </w:rPr>
        <w:t>鼓励矿山企业采用先进、安全的开采技术和开采方式，按照科学、高效的原则利用矿产资源，实现开采回采率和综合回收利用率达到或高于设计要求水平，矿山渣石能够得到充分利用。设置科学合理的控制指标，大幅降低矿山企业能耗、地耗和水耗程度，控制能源消费总量、碳排放总量、尾矿等废弃物排放总量。</w:t>
      </w:r>
    </w:p>
    <w:p>
      <w:pPr>
        <w:pStyle w:val="29"/>
        <w:ind w:firstLine="643"/>
        <w:rPr>
          <w:b/>
          <w:szCs w:val="32"/>
        </w:rPr>
      </w:pPr>
      <w:r>
        <w:rPr>
          <w:rFonts w:hint="eastAsia"/>
          <w:b/>
          <w:sz w:val="32"/>
          <w:szCs w:val="36"/>
        </w:rPr>
        <w:t>（四）构建矿业绿色发展激励约束机制</w:t>
      </w:r>
    </w:p>
    <w:p>
      <w:pPr>
        <w:pStyle w:val="29"/>
        <w:ind w:firstLine="600"/>
        <w:rPr>
          <w:color w:val="000000" w:themeColor="text1"/>
          <w:szCs w:val="30"/>
          <w14:textFill>
            <w14:solidFill>
              <w14:schemeClr w14:val="tx1"/>
            </w14:solidFill>
          </w14:textFill>
        </w:rPr>
      </w:pPr>
      <w:r>
        <w:rPr>
          <w:rFonts w:hint="eastAsia"/>
        </w:rPr>
        <w:t>加大绿色矿业政策支持力度，探索实行总量调控矿种的开采指标、矿业权投放、用地指标、各类财政资金优先向绿色矿山安排。将绿色矿山建设纳入合同管理，在矿业权出让合同中约定绿色矿山建设的相关要求。通过有效的激励约束措施，激发矿山企业绿色发展的内生动力</w:t>
      </w:r>
      <w:r>
        <w:rPr>
          <w:rFonts w:hint="eastAsia"/>
          <w:color w:val="000000" w:themeColor="text1"/>
          <w:szCs w:val="30"/>
          <w14:textFill>
            <w14:solidFill>
              <w14:schemeClr w14:val="tx1"/>
            </w14:solidFill>
          </w14:textFill>
        </w:rPr>
        <w:t>。</w:t>
      </w:r>
    </w:p>
    <w:p>
      <w:pPr>
        <w:pStyle w:val="4"/>
        <w:adjustRightInd w:val="0"/>
        <w:snapToGrid w:val="0"/>
        <w:spacing w:line="360" w:lineRule="auto"/>
        <w:ind w:firstLine="640" w:firstLineChars="200"/>
      </w:pPr>
      <w:bookmarkStart w:id="24" w:name="_Toc23680"/>
      <w:bookmarkStart w:id="25" w:name="_Toc12103"/>
      <w:r>
        <w:rPr>
          <w:rFonts w:hint="eastAsia"/>
        </w:rPr>
        <w:t xml:space="preserve">三 </w:t>
      </w:r>
      <w:r>
        <w:t xml:space="preserve"> </w:t>
      </w:r>
      <w:r>
        <w:rPr>
          <w:rFonts w:hint="eastAsia"/>
        </w:rPr>
        <w:t>强化矿山生态保护修复</w:t>
      </w:r>
      <w:bookmarkEnd w:id="24"/>
      <w:bookmarkEnd w:id="25"/>
    </w:p>
    <w:p>
      <w:pPr>
        <w:pStyle w:val="29"/>
        <w:ind w:firstLine="643"/>
        <w:rPr>
          <w:b/>
        </w:rPr>
      </w:pPr>
      <w:r>
        <w:rPr>
          <w:rFonts w:hint="eastAsia"/>
          <w:b/>
          <w:sz w:val="32"/>
          <w:szCs w:val="36"/>
        </w:rPr>
        <w:t>（一）落实矿山生态保护主体责任</w:t>
      </w:r>
    </w:p>
    <w:p>
      <w:pPr>
        <w:pStyle w:val="29"/>
        <w:ind w:firstLine="600"/>
        <w:rPr>
          <w:rFonts w:ascii="仿宋_GB2312" w:hAnsi="仿宋_GB2312" w:cs="仿宋_GB2312"/>
        </w:rPr>
      </w:pPr>
      <w:r>
        <w:rPr>
          <w:rFonts w:hint="eastAsia"/>
          <w:szCs w:val="32"/>
        </w:rPr>
        <w:t>坚持“谁开发、谁保护，谁破坏、谁治理”、“预防为主、防治结合”，严格落实地方政府、矿业权人矿山生态环境保护责任，按照“边开采、边保护、边修复”的要求，实现矿山生态修复动态化。坚持因地制宜的矿山生态修复原则，形成与周边生态环境相协调的植物群落，注意生物多样性保护和恢复。不断改进技术工艺，加强矿产资源开发过程中的生态环境保护，最大限度避免或减少因矿产资源开发而引发的矿山生态环境问题。督促矿山企业科学编制并严格实施矿山矿产资源开发与恢复治理方案，切实履行矿山地质环境恢复治理和土地复垦义务</w:t>
      </w:r>
      <w:r>
        <w:rPr>
          <w:rFonts w:hint="eastAsia" w:ascii="仿宋_GB2312" w:hAnsi="仿宋_GB2312" w:cs="仿宋_GB2312"/>
        </w:rPr>
        <w:t>。</w:t>
      </w:r>
    </w:p>
    <w:p>
      <w:pPr>
        <w:pStyle w:val="29"/>
        <w:ind w:firstLine="602"/>
        <w:rPr>
          <w:rFonts w:ascii="仿宋_GB2312" w:hAnsi="仿宋_GB2312" w:cs="仿宋_GB2312"/>
        </w:rPr>
      </w:pPr>
      <w:r>
        <w:rPr>
          <w:rFonts w:hint="eastAsia"/>
          <w:b/>
        </w:rPr>
        <w:t>新建（在建）矿山：</w:t>
      </w:r>
      <w:r>
        <w:rPr>
          <w:rFonts w:hint="eastAsia" w:ascii="仿宋_GB2312" w:hAnsi="仿宋_GB2312" w:cs="仿宋_GB2312"/>
        </w:rPr>
        <w:t>严格矿产资源开发利用的环境保护准入管理，禁止新建对生态环境产生不可恢复性影响的矿产资源开采项目。新建矿山必须具备与拟建矿山规模、性质相适宜的资金、设备、采矿技术、人才、管理等方面的资质条件，制定矿产资源开发利用方案、矿山地质环境保护与土地复垦方案、矿山水土保持方案等，并报主管部门审查通过。新建矿山负有对矿山地质环境保护与恢复治理、土地复垦的主体责任。加强矿产资源开发过程中的环境保护，做到矿山开采与地质环境保护工作同步进行。</w:t>
      </w:r>
    </w:p>
    <w:p>
      <w:pPr>
        <w:pStyle w:val="29"/>
        <w:ind w:firstLine="602"/>
        <w:rPr>
          <w:rFonts w:ascii="仿宋_GB2312" w:hAnsi="仿宋_GB2312" w:cs="仿宋_GB2312"/>
        </w:rPr>
      </w:pPr>
      <w:r>
        <w:rPr>
          <w:rFonts w:hint="eastAsia"/>
          <w:b/>
        </w:rPr>
        <w:t>生产矿山：</w:t>
      </w:r>
      <w:r>
        <w:rPr>
          <w:rFonts w:hint="eastAsia" w:ascii="仿宋_GB2312" w:hAnsi="仿宋_GB2312" w:cs="仿宋_GB2312"/>
        </w:rPr>
        <w:t>采矿权人必须严格按照批准的矿产资源开发利用方案、矿山地质环境保护与土地复垦方案等，从事采矿活动和地质环境保护与治理工作，落实矿山地质环境保护应承担的主体责任。按照“边开采、边治理”的原则，严格规范矿业活动，明确矿山地质环境治理时序，确保矿山地质环境恢复治理率、土地复垦率。政府主管部门必须加强对生产矿山地质环境保护的监管，按照“双随机一公开”要求，督促矿山企业切实履行地质环境保护与土地复垦义务。对未按规定履行地质环境治理与土地复垦义务的矿山企业，列入矿业权人异常名录或严重违法名单，责令整改。整改不到位的，不得批准其申请新的采矿许可证或者采矿许可证延续、变更等，不得批准其申请新的建设用地。</w:t>
      </w:r>
    </w:p>
    <w:p>
      <w:pPr>
        <w:pStyle w:val="29"/>
        <w:ind w:firstLine="602"/>
        <w:rPr>
          <w:rFonts w:ascii="仿宋_GB2312" w:hAnsi="仿宋_GB2312" w:cs="仿宋_GB2312"/>
        </w:rPr>
      </w:pPr>
      <w:r>
        <w:rPr>
          <w:rFonts w:hint="eastAsia"/>
          <w:b/>
        </w:rPr>
        <w:t>闭坑矿山：</w:t>
      </w:r>
      <w:r>
        <w:rPr>
          <w:rFonts w:hint="eastAsia"/>
        </w:rPr>
        <w:t>因资源枯竭或其它因素申请闭坑的矿山，矿业权人应向政府主管部门提交矿山闭坑地质环境治理恢复方案，经审查批准后，在规定的时间内完成矿山地质环境治理恢复工作，并经验收合格后，方可办理闭坑手续。</w:t>
      </w:r>
    </w:p>
    <w:p>
      <w:pPr>
        <w:pStyle w:val="29"/>
        <w:ind w:firstLine="643"/>
        <w:rPr>
          <w:b/>
        </w:rPr>
      </w:pPr>
      <w:r>
        <w:rPr>
          <w:rFonts w:hint="eastAsia"/>
          <w:b/>
          <w:sz w:val="32"/>
          <w:szCs w:val="36"/>
        </w:rPr>
        <w:t>（二）加强矿山生态保护修复监督管理</w:t>
      </w:r>
    </w:p>
    <w:p>
      <w:pPr>
        <w:pStyle w:val="29"/>
        <w:widowControl w:val="0"/>
        <w:ind w:firstLine="600"/>
        <w:rPr>
          <w:szCs w:val="32"/>
        </w:rPr>
      </w:pPr>
      <w:r>
        <w:rPr>
          <w:rFonts w:hint="eastAsia"/>
          <w:szCs w:val="32"/>
        </w:rPr>
        <w:t>坚持矿山生态保护与修复目标责任制，强化信息公示。建立系统完善的矿山地质环境动态监测体系，加快监测基础设施建设，充分利用卫星遥感、无人机等先进手段，结合实地核查，进一步加强对采矿权人履行生态保护与修复主体责任情况的执法督察。积极引导社会资金、资源、资产要素投入矿山生态修复，建立健全政府、矿山企业、社会投资方、公众共同参与的矿山生态保护监督机制。严格贯彻落实矿山地质环境治理恢复基金制度，跟踪评估基金的建立、提取、使用、公示情况。</w:t>
      </w:r>
    </w:p>
    <w:p>
      <w:pPr>
        <w:pStyle w:val="29"/>
        <w:widowControl w:val="0"/>
        <w:ind w:firstLine="643"/>
      </w:pPr>
      <w:r>
        <w:rPr>
          <w:rFonts w:hint="eastAsia"/>
          <w:b/>
          <w:sz w:val="32"/>
          <w:szCs w:val="36"/>
        </w:rPr>
        <w:t>（三）推进历史遗留矿山生态修复</w:t>
      </w:r>
    </w:p>
    <w:p>
      <w:pPr>
        <w:pStyle w:val="29"/>
        <w:widowControl w:val="0"/>
        <w:ind w:firstLine="600"/>
        <w:rPr>
          <w:szCs w:val="32"/>
        </w:rPr>
      </w:pPr>
      <w:r>
        <w:rPr>
          <w:rFonts w:hint="eastAsia"/>
          <w:szCs w:val="32"/>
        </w:rPr>
        <w:t>坚持“科学治理、综合施策”，深入推进会宁县经实地核查后认定的历史遗留矿山图斑生态修复工作，完成省厅批复的会宁县历史遗留废弃矿山生态修复项目。坚持“谁修复、谁受益”原则，积极引导社会资金、资源、资产要素投入矿山生态修复，推行市场化运作、科学化治理的模式，全面推进历史遗留矿山生态修复。</w:t>
      </w:r>
    </w:p>
    <w:p>
      <w:pPr>
        <w:pStyle w:val="29"/>
        <w:widowControl w:val="0"/>
        <w:ind w:firstLine="643"/>
      </w:pPr>
      <w:r>
        <w:rPr>
          <w:rFonts w:hint="eastAsia"/>
          <w:b/>
          <w:sz w:val="32"/>
          <w:szCs w:val="36"/>
        </w:rPr>
        <w:t>（四）完善矿山生态保护修复激励惩戒机制</w:t>
      </w:r>
    </w:p>
    <w:p>
      <w:pPr>
        <w:pStyle w:val="29"/>
        <w:ind w:firstLine="600"/>
      </w:pPr>
      <w:r>
        <w:rPr>
          <w:rFonts w:hint="eastAsia"/>
          <w:szCs w:val="32"/>
        </w:rPr>
        <w:t>构建形成矿山生态保护源头预防、过程控制、损害赔偿、责任追究的制度体系。执行矿山企业诚信档案和信用积累制度，对不履行生态保护与修复义务的矿山进行失信联合惩戒，要将该矿山企业纳入政府管理相关信息向社会公开，列入矿业权人异常名录或严重违法名单；对造成矿山生态环境严重破坏的矿山，责令限期整改</w:t>
      </w:r>
      <w:r>
        <w:rPr>
          <w:rFonts w:hint="eastAsia"/>
        </w:rPr>
        <w:t>。</w:t>
      </w:r>
    </w:p>
    <w:p>
      <w:pPr>
        <w:pStyle w:val="29"/>
        <w:ind w:firstLine="600"/>
      </w:pPr>
    </w:p>
    <w:p>
      <w:r>
        <w:br w:type="page"/>
      </w:r>
    </w:p>
    <w:p>
      <w:pPr>
        <w:pStyle w:val="29"/>
        <w:ind w:firstLine="600"/>
        <w:sectPr>
          <w:headerReference r:id="rId21" w:type="default"/>
          <w:type w:val="continuous"/>
          <w:pgSz w:w="11906" w:h="16838"/>
          <w:pgMar w:top="1701" w:right="1797" w:bottom="1985" w:left="1797" w:header="851" w:footer="992" w:gutter="0"/>
          <w:cols w:space="425" w:num="1"/>
          <w:docGrid w:linePitch="312" w:charSpace="0"/>
        </w:sectPr>
      </w:pPr>
    </w:p>
    <w:p>
      <w:pPr>
        <w:pStyle w:val="3"/>
        <w:ind w:firstLine="720"/>
      </w:pPr>
      <w:bookmarkStart w:id="26" w:name="_Toc27339"/>
      <w:r>
        <w:rPr>
          <w:rFonts w:hint="eastAsia"/>
        </w:rPr>
        <w:t xml:space="preserve">第六章 </w:t>
      </w:r>
      <w:r>
        <w:t xml:space="preserve"> </w:t>
      </w:r>
      <w:r>
        <w:rPr>
          <w:rFonts w:hint="eastAsia"/>
        </w:rPr>
        <w:t>规划保障措施</w:t>
      </w:r>
      <w:bookmarkEnd w:id="26"/>
    </w:p>
    <w:p>
      <w:pPr>
        <w:pStyle w:val="29"/>
        <w:ind w:firstLine="600"/>
      </w:pPr>
      <w:r>
        <w:rPr>
          <w:rFonts w:hint="eastAsia"/>
        </w:rPr>
        <w:t>《规划》是会宁县经济和社会发展总规划的重要组成部分，具有法定效力，必须严格执行、全面落实。坚持从改革、完善制度和创新机制入手，将落实《规划》作为政府及全社会的统一行动，综合采取法律、经济、行政和技术等措施，保障规划目标和任务的实现。</w:t>
      </w:r>
    </w:p>
    <w:p>
      <w:pPr>
        <w:pStyle w:val="29"/>
        <w:ind w:firstLine="640"/>
        <w:outlineLvl w:val="1"/>
      </w:pPr>
      <w:bookmarkStart w:id="27" w:name="_Toc91784602"/>
      <w:bookmarkStart w:id="28" w:name="_Toc26230"/>
      <w:bookmarkStart w:id="29" w:name="_Toc18438"/>
      <w:r>
        <w:rPr>
          <w:rFonts w:hint="eastAsia" w:eastAsia="黑体" w:cstheme="majorBidi"/>
          <w:bCs/>
          <w:snapToGrid/>
          <w:sz w:val="32"/>
          <w:szCs w:val="32"/>
        </w:rPr>
        <w:t>一  加强规划</w:t>
      </w:r>
      <w:bookmarkEnd w:id="27"/>
      <w:r>
        <w:rPr>
          <w:rFonts w:hint="eastAsia" w:eastAsia="黑体" w:cstheme="majorBidi"/>
          <w:bCs/>
          <w:snapToGrid/>
          <w:sz w:val="32"/>
          <w:szCs w:val="32"/>
        </w:rPr>
        <w:t>实施组织领导</w:t>
      </w:r>
      <w:bookmarkEnd w:id="28"/>
      <w:bookmarkEnd w:id="29"/>
    </w:p>
    <w:p>
      <w:pPr>
        <w:pStyle w:val="29"/>
        <w:ind w:firstLine="600"/>
      </w:pPr>
      <w:r>
        <w:rPr>
          <w:rFonts w:hint="eastAsia"/>
        </w:rPr>
        <w:t>在国家有关矿产资源法律法规指导下，充分发挥精细管理和监管依据作用。加强规划实施组织领导，全县有关部门要按照职能分工，强化部门协同和上下联动，进一步细化相关政策措施，形成政策合力，及时解决规划实施中的重大问题，确保规划确定的各项目标任务落到实处。确保矿产资源总体规划与国民经济和社会发展规划、国土空间规划等规划的衔接协调。全县涉及矿产资源勘查、开发利用的相关专项规划，在目标指标、重点布局和政策措施等方面，以本规划为基准，保持一致。</w:t>
      </w:r>
    </w:p>
    <w:p>
      <w:pPr>
        <w:pStyle w:val="29"/>
        <w:ind w:firstLine="640"/>
        <w:outlineLvl w:val="1"/>
      </w:pPr>
      <w:bookmarkStart w:id="30" w:name="_Toc91784603"/>
      <w:bookmarkStart w:id="31" w:name="_Toc30105"/>
      <w:bookmarkStart w:id="32" w:name="_Toc7730"/>
      <w:r>
        <w:rPr>
          <w:rFonts w:hint="eastAsia" w:eastAsia="黑体" w:cstheme="majorBidi"/>
          <w:bCs/>
          <w:snapToGrid/>
          <w:sz w:val="32"/>
          <w:szCs w:val="32"/>
        </w:rPr>
        <w:t xml:space="preserve">二  </w:t>
      </w:r>
      <w:bookmarkEnd w:id="30"/>
      <w:r>
        <w:rPr>
          <w:rFonts w:hint="eastAsia" w:eastAsia="黑体" w:cstheme="majorBidi"/>
          <w:bCs/>
          <w:snapToGrid/>
          <w:sz w:val="32"/>
          <w:szCs w:val="32"/>
        </w:rPr>
        <w:t>强化规划实施情况监督检查</w:t>
      </w:r>
      <w:bookmarkEnd w:id="31"/>
      <w:bookmarkEnd w:id="32"/>
    </w:p>
    <w:p>
      <w:pPr>
        <w:pStyle w:val="29"/>
        <w:widowControl w:val="0"/>
        <w:ind w:firstLine="600"/>
      </w:pPr>
      <w:r>
        <w:rPr>
          <w:rFonts w:hint="eastAsia"/>
        </w:rPr>
        <w:t>全面加强对矿产资源总体规划实施情况的监督检查，实行专项检查与经常性监督检查相结合，强化对规划重点区域矿产勘查开发活动的监督管理。加强宣传报道，增强舆论监督，自觉接受社会监督，不断提升矿产资源的社会化管理水平。完善规划监督管理办法，加强信息公开、政务公开、项目公示，监理部门联合督查制度，加强督导考核，将规划实施情况作为矿产资源管理考核、自然资源督察、执法监察的重要内容。</w:t>
      </w:r>
    </w:p>
    <w:p>
      <w:pPr>
        <w:pStyle w:val="29"/>
        <w:widowControl w:val="0"/>
        <w:ind w:firstLine="640"/>
        <w:outlineLvl w:val="1"/>
      </w:pPr>
      <w:bookmarkStart w:id="33" w:name="_Toc14977"/>
      <w:r>
        <w:rPr>
          <w:rFonts w:hint="eastAsia" w:eastAsia="黑体" w:cstheme="majorBidi"/>
          <w:bCs/>
          <w:snapToGrid/>
          <w:sz w:val="32"/>
          <w:szCs w:val="32"/>
        </w:rPr>
        <w:t>三  严格矿产资源勘查开采项目规划审查</w:t>
      </w:r>
      <w:bookmarkEnd w:id="33"/>
    </w:p>
    <w:p>
      <w:pPr>
        <w:pStyle w:val="29"/>
        <w:ind w:firstLine="600"/>
      </w:pPr>
      <w:r>
        <w:rPr>
          <w:rFonts w:hint="eastAsia"/>
        </w:rPr>
        <w:t>全县矿业权设置必须严格开展规划审查，对不符合规划的，不得审批颁发采矿许可证，不得批准用地。严格执行最低开采规模、开发利用效率、矿山地质环境保护等规划准入条件。</w:t>
      </w:r>
    </w:p>
    <w:p>
      <w:pPr>
        <w:pStyle w:val="29"/>
        <w:widowControl w:val="0"/>
        <w:ind w:firstLine="640"/>
        <w:outlineLvl w:val="1"/>
      </w:pPr>
      <w:bookmarkStart w:id="34" w:name="_Toc91784604"/>
      <w:bookmarkStart w:id="35" w:name="_Toc4048"/>
      <w:bookmarkStart w:id="36" w:name="_Toc8318"/>
      <w:r>
        <w:rPr>
          <w:rFonts w:hint="eastAsia" w:eastAsia="黑体" w:cstheme="majorBidi"/>
          <w:bCs/>
          <w:snapToGrid/>
          <w:sz w:val="32"/>
          <w:szCs w:val="32"/>
        </w:rPr>
        <w:t xml:space="preserve">四  </w:t>
      </w:r>
      <w:bookmarkEnd w:id="34"/>
      <w:r>
        <w:rPr>
          <w:rFonts w:hint="eastAsia" w:eastAsia="黑体" w:cstheme="majorBidi"/>
          <w:bCs/>
          <w:snapToGrid/>
          <w:sz w:val="32"/>
          <w:szCs w:val="32"/>
        </w:rPr>
        <w:t>完善规划实施评估调整机制</w:t>
      </w:r>
      <w:bookmarkEnd w:id="35"/>
      <w:bookmarkEnd w:id="36"/>
    </w:p>
    <w:p>
      <w:pPr>
        <w:adjustRightInd w:val="0"/>
        <w:snapToGrid w:val="0"/>
        <w:spacing w:line="360" w:lineRule="auto"/>
        <w:ind w:firstLine="600" w:firstLineChars="200"/>
        <w:jc w:val="both"/>
      </w:pPr>
      <w:r>
        <w:rPr>
          <w:rFonts w:hint="eastAsia" w:eastAsia="仿宋_GB2312"/>
          <w:snapToGrid w:val="0"/>
          <w:sz w:val="30"/>
        </w:rPr>
        <w:t>加强规划主要目标和任务完成进度的调查、统计和分析，针对规划实施中出现的新形势、新问题，及时提出解决办法，为规划管理决策、调整与修订提供基础信息与依据。按照“谁调整、谁负责，谁把关、谁负责”的原则，严格全县规划调整，规划实施过程中因社会经济发展形势和资源条件发生重大变化需要对规划进行调整的，必须对规划调整的必要性、合理性等进行严格论证，按照法定程序进行审批。规划数据库调整要和规划实施监测与评估工作紧密结合，实行集中动态调整。</w:t>
      </w:r>
    </w:p>
    <w:p>
      <w:pPr>
        <w:pStyle w:val="29"/>
        <w:widowControl w:val="0"/>
        <w:ind w:firstLine="640"/>
        <w:outlineLvl w:val="1"/>
      </w:pPr>
      <w:bookmarkStart w:id="37" w:name="_Toc91784605"/>
      <w:bookmarkStart w:id="38" w:name="_Toc15652"/>
      <w:bookmarkStart w:id="39" w:name="_Toc19539"/>
      <w:r>
        <w:rPr>
          <w:rFonts w:hint="eastAsia" w:eastAsia="黑体" w:cstheme="majorBidi"/>
          <w:bCs/>
          <w:snapToGrid/>
          <w:sz w:val="32"/>
          <w:szCs w:val="32"/>
        </w:rPr>
        <w:t xml:space="preserve">五  </w:t>
      </w:r>
      <w:bookmarkEnd w:id="37"/>
      <w:r>
        <w:rPr>
          <w:rFonts w:hint="eastAsia" w:eastAsia="黑体" w:cstheme="majorBidi"/>
          <w:bCs/>
          <w:snapToGrid/>
          <w:sz w:val="32"/>
          <w:szCs w:val="32"/>
        </w:rPr>
        <w:t>提高规划管理信息化水平</w:t>
      </w:r>
      <w:bookmarkEnd w:id="38"/>
      <w:bookmarkEnd w:id="39"/>
    </w:p>
    <w:p>
      <w:pPr>
        <w:pStyle w:val="29"/>
        <w:widowControl w:val="0"/>
        <w:ind w:firstLine="600"/>
        <w:rPr>
          <w:rFonts w:hint="eastAsia"/>
          <w:lang w:eastAsia="zh-CN"/>
        </w:rPr>
      </w:pPr>
      <w:r>
        <w:rPr>
          <w:rFonts w:hint="eastAsia"/>
        </w:rPr>
        <w:t>建立县级矿产资源总体规划统一数据库，将县级规划编制、实施、评估、调整等纳入全省统一的矿产资源规划编制与实施评估信息系统，加快与国土空间规划以及其他矿政管理信息系统有效衔接，加强数据可视化分析和深度挖掘，构建功能完善的信息网络，使现代化技术手段在规划编制、审批、实施和调整等进程中发挥重要作用。</w:t>
      </w:r>
      <w:bookmarkStart w:id="40" w:name="_GoBack"/>
      <w:bookmarkEnd w:id="40"/>
    </w:p>
    <w:sectPr>
      <w:headerReference r:id="rId22" w:type="default"/>
      <w:type w:val="continuous"/>
      <w:pgSz w:w="11906" w:h="16838"/>
      <w:pgMar w:top="1701" w:right="1797" w:bottom="1985"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323932"/>
                          </w:sdtPr>
                          <w:sdtEndPr>
                            <w:rPr>
                              <w:sz w:val="24"/>
                              <w:szCs w:val="24"/>
                            </w:rPr>
                          </w:sdtEndPr>
                          <w:sdtContent>
                            <w:p>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921323932"/>
                    </w:sdtPr>
                    <w:sdtEndPr>
                      <w:rPr>
                        <w:sz w:val="24"/>
                        <w:szCs w:val="24"/>
                      </w:rPr>
                    </w:sdtEndPr>
                    <w:sdtContent>
                      <w:p>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sdtContent>
                  </w:sdt>
                  <w:p>
                    <w:pPr>
                      <w:rPr>
                        <w:sz w:val="24"/>
                        <w:szCs w:val="24"/>
                      </w:rPr>
                    </w:pPr>
                  </w:p>
                </w:txbxContent>
              </v:textbox>
            </v:shape>
          </w:pict>
        </mc:Fallback>
      </mc:AlternateContent>
    </w:r>
  </w:p>
  <w:p>
    <w:pPr>
      <w:pStyle w:val="13"/>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9692766"/>
                          </w:sdtPr>
                          <w:sdtEndPr>
                            <w:rPr>
                              <w:sz w:val="24"/>
                              <w:szCs w:val="24"/>
                            </w:rPr>
                          </w:sdtEndPr>
                          <w:sdtContent>
                            <w:p>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1459692766"/>
                    </w:sdtPr>
                    <w:sdtEndPr>
                      <w:rPr>
                        <w:sz w:val="24"/>
                        <w:szCs w:val="24"/>
                      </w:rPr>
                    </w:sdtEndPr>
                    <w:sdtContent>
                      <w:p>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rPr>
                        <w:sz w:val="24"/>
                        <w:szCs w:val="24"/>
                      </w:rPr>
                    </w:pPr>
                  </w:p>
                </w:txbxContent>
              </v:textbox>
            </v:shape>
          </w:pict>
        </mc:Fallback>
      </mc:AlternateContent>
    </w:r>
  </w:p>
  <w:p>
    <w:pPr>
      <w:pStyle w:val="13"/>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sz w:val="24"/>
        <w:szCs w:val="24"/>
      </w:rPr>
    </w:pPr>
    <w:r>
      <w:rPr>
        <w:rFonts w:hint="eastAsia" w:ascii="仿宋_GB2312" w:eastAsia="仿宋_GB2312"/>
        <w:sz w:val="24"/>
        <w:szCs w:val="24"/>
      </w:rPr>
      <w:t>第四章  规划布局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220"/>
  <w:drawingGridVerticalSpacing w:val="29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0YmRhODYzYTQ4NGY2YjE0ZGZlMTk1MjM0MzdjMzMifQ=="/>
  </w:docVars>
  <w:rsids>
    <w:rsidRoot w:val="0049336B"/>
    <w:rsid w:val="0001010B"/>
    <w:rsid w:val="000114FA"/>
    <w:rsid w:val="00014955"/>
    <w:rsid w:val="00016004"/>
    <w:rsid w:val="00021112"/>
    <w:rsid w:val="000238C0"/>
    <w:rsid w:val="00023D79"/>
    <w:rsid w:val="00032E10"/>
    <w:rsid w:val="00036A04"/>
    <w:rsid w:val="00056B91"/>
    <w:rsid w:val="0005727E"/>
    <w:rsid w:val="00070950"/>
    <w:rsid w:val="000718A4"/>
    <w:rsid w:val="0007412B"/>
    <w:rsid w:val="000747CC"/>
    <w:rsid w:val="00074FAA"/>
    <w:rsid w:val="000857D3"/>
    <w:rsid w:val="000877BF"/>
    <w:rsid w:val="00090F5C"/>
    <w:rsid w:val="00090F79"/>
    <w:rsid w:val="0009169D"/>
    <w:rsid w:val="000917DE"/>
    <w:rsid w:val="00097707"/>
    <w:rsid w:val="000A10A9"/>
    <w:rsid w:val="000A1439"/>
    <w:rsid w:val="000A18AA"/>
    <w:rsid w:val="000A7317"/>
    <w:rsid w:val="000B361D"/>
    <w:rsid w:val="000B5952"/>
    <w:rsid w:val="000B6B41"/>
    <w:rsid w:val="000C0324"/>
    <w:rsid w:val="000C172A"/>
    <w:rsid w:val="000C259C"/>
    <w:rsid w:val="000C7100"/>
    <w:rsid w:val="000C79AC"/>
    <w:rsid w:val="000D1C4C"/>
    <w:rsid w:val="000D221B"/>
    <w:rsid w:val="000D5332"/>
    <w:rsid w:val="000E0296"/>
    <w:rsid w:val="000E41C2"/>
    <w:rsid w:val="000F18A8"/>
    <w:rsid w:val="000F4525"/>
    <w:rsid w:val="000F4754"/>
    <w:rsid w:val="001075F8"/>
    <w:rsid w:val="0011372B"/>
    <w:rsid w:val="0012244D"/>
    <w:rsid w:val="00124BBB"/>
    <w:rsid w:val="00125139"/>
    <w:rsid w:val="00127C17"/>
    <w:rsid w:val="001317FE"/>
    <w:rsid w:val="001318A2"/>
    <w:rsid w:val="00131C45"/>
    <w:rsid w:val="001328EE"/>
    <w:rsid w:val="001345E1"/>
    <w:rsid w:val="0014052D"/>
    <w:rsid w:val="001439F8"/>
    <w:rsid w:val="00152D35"/>
    <w:rsid w:val="00161D76"/>
    <w:rsid w:val="00162675"/>
    <w:rsid w:val="00162C74"/>
    <w:rsid w:val="00166A32"/>
    <w:rsid w:val="001712A1"/>
    <w:rsid w:val="00174075"/>
    <w:rsid w:val="001765BE"/>
    <w:rsid w:val="001857FE"/>
    <w:rsid w:val="0019001D"/>
    <w:rsid w:val="00192C2E"/>
    <w:rsid w:val="0019346E"/>
    <w:rsid w:val="001A1B8D"/>
    <w:rsid w:val="001A240D"/>
    <w:rsid w:val="001B36FD"/>
    <w:rsid w:val="001B5926"/>
    <w:rsid w:val="001C3880"/>
    <w:rsid w:val="001C5FFB"/>
    <w:rsid w:val="001C6590"/>
    <w:rsid w:val="001D074F"/>
    <w:rsid w:val="001D148B"/>
    <w:rsid w:val="001D391E"/>
    <w:rsid w:val="001D5BB3"/>
    <w:rsid w:val="001D6BC8"/>
    <w:rsid w:val="001D734F"/>
    <w:rsid w:val="001D7EFE"/>
    <w:rsid w:val="001E4CFB"/>
    <w:rsid w:val="001E541D"/>
    <w:rsid w:val="001F081B"/>
    <w:rsid w:val="001F1701"/>
    <w:rsid w:val="001F270D"/>
    <w:rsid w:val="00202F18"/>
    <w:rsid w:val="00206201"/>
    <w:rsid w:val="00210C0F"/>
    <w:rsid w:val="0021278E"/>
    <w:rsid w:val="002130A3"/>
    <w:rsid w:val="0021436C"/>
    <w:rsid w:val="00217021"/>
    <w:rsid w:val="002221BB"/>
    <w:rsid w:val="002248FF"/>
    <w:rsid w:val="0022689A"/>
    <w:rsid w:val="00230C92"/>
    <w:rsid w:val="00231F7B"/>
    <w:rsid w:val="00240443"/>
    <w:rsid w:val="00241EDC"/>
    <w:rsid w:val="00250724"/>
    <w:rsid w:val="00251020"/>
    <w:rsid w:val="002541E5"/>
    <w:rsid w:val="002548AD"/>
    <w:rsid w:val="002550BB"/>
    <w:rsid w:val="00256580"/>
    <w:rsid w:val="0027007D"/>
    <w:rsid w:val="00274723"/>
    <w:rsid w:val="00276022"/>
    <w:rsid w:val="00280E2C"/>
    <w:rsid w:val="002838E8"/>
    <w:rsid w:val="00284932"/>
    <w:rsid w:val="002863D5"/>
    <w:rsid w:val="00296A29"/>
    <w:rsid w:val="002A37AC"/>
    <w:rsid w:val="002A44F0"/>
    <w:rsid w:val="002A4638"/>
    <w:rsid w:val="002A6E99"/>
    <w:rsid w:val="002A7E22"/>
    <w:rsid w:val="002B190E"/>
    <w:rsid w:val="002B2D27"/>
    <w:rsid w:val="002C03A9"/>
    <w:rsid w:val="002C202D"/>
    <w:rsid w:val="002C47C8"/>
    <w:rsid w:val="002D10F9"/>
    <w:rsid w:val="002D31AF"/>
    <w:rsid w:val="002D5724"/>
    <w:rsid w:val="002D753F"/>
    <w:rsid w:val="002E3153"/>
    <w:rsid w:val="002E4B01"/>
    <w:rsid w:val="002E5D8B"/>
    <w:rsid w:val="002F47A7"/>
    <w:rsid w:val="002F566F"/>
    <w:rsid w:val="002F6C19"/>
    <w:rsid w:val="002F7128"/>
    <w:rsid w:val="002F72E3"/>
    <w:rsid w:val="002F779B"/>
    <w:rsid w:val="00302B00"/>
    <w:rsid w:val="003045E9"/>
    <w:rsid w:val="00305B32"/>
    <w:rsid w:val="00307318"/>
    <w:rsid w:val="003130C5"/>
    <w:rsid w:val="0031458C"/>
    <w:rsid w:val="00315B10"/>
    <w:rsid w:val="003234F5"/>
    <w:rsid w:val="00323C09"/>
    <w:rsid w:val="003259BE"/>
    <w:rsid w:val="00326C96"/>
    <w:rsid w:val="00327240"/>
    <w:rsid w:val="003405F2"/>
    <w:rsid w:val="00343220"/>
    <w:rsid w:val="00352863"/>
    <w:rsid w:val="0035682D"/>
    <w:rsid w:val="00356C41"/>
    <w:rsid w:val="00364F3F"/>
    <w:rsid w:val="00371BE8"/>
    <w:rsid w:val="00375C11"/>
    <w:rsid w:val="00377610"/>
    <w:rsid w:val="00381037"/>
    <w:rsid w:val="003823C5"/>
    <w:rsid w:val="0038309B"/>
    <w:rsid w:val="00383246"/>
    <w:rsid w:val="003838F7"/>
    <w:rsid w:val="00386A7D"/>
    <w:rsid w:val="00390205"/>
    <w:rsid w:val="00393345"/>
    <w:rsid w:val="00393B3E"/>
    <w:rsid w:val="00393E55"/>
    <w:rsid w:val="003A40FE"/>
    <w:rsid w:val="003A5FE8"/>
    <w:rsid w:val="003B3129"/>
    <w:rsid w:val="003B4AEE"/>
    <w:rsid w:val="003B4F0F"/>
    <w:rsid w:val="003C22B8"/>
    <w:rsid w:val="003C592A"/>
    <w:rsid w:val="003D2C53"/>
    <w:rsid w:val="003D439A"/>
    <w:rsid w:val="003D6D22"/>
    <w:rsid w:val="003D7A1F"/>
    <w:rsid w:val="003E0211"/>
    <w:rsid w:val="003E529E"/>
    <w:rsid w:val="003E5F0B"/>
    <w:rsid w:val="003E753A"/>
    <w:rsid w:val="003E7C95"/>
    <w:rsid w:val="003F1381"/>
    <w:rsid w:val="003F1985"/>
    <w:rsid w:val="003F2DBD"/>
    <w:rsid w:val="00410334"/>
    <w:rsid w:val="004129C1"/>
    <w:rsid w:val="00416892"/>
    <w:rsid w:val="004201CB"/>
    <w:rsid w:val="00425BF1"/>
    <w:rsid w:val="00425FD3"/>
    <w:rsid w:val="00426D03"/>
    <w:rsid w:val="004363D7"/>
    <w:rsid w:val="00444D9C"/>
    <w:rsid w:val="00446B4C"/>
    <w:rsid w:val="00452CEF"/>
    <w:rsid w:val="00461172"/>
    <w:rsid w:val="00462F60"/>
    <w:rsid w:val="004649F8"/>
    <w:rsid w:val="00465832"/>
    <w:rsid w:val="00471B24"/>
    <w:rsid w:val="00480A93"/>
    <w:rsid w:val="00485FE7"/>
    <w:rsid w:val="004860A6"/>
    <w:rsid w:val="0049336B"/>
    <w:rsid w:val="00493ECB"/>
    <w:rsid w:val="00497FA7"/>
    <w:rsid w:val="00497FFB"/>
    <w:rsid w:val="004A1CE3"/>
    <w:rsid w:val="004A2962"/>
    <w:rsid w:val="004A2B90"/>
    <w:rsid w:val="004A7240"/>
    <w:rsid w:val="004A7363"/>
    <w:rsid w:val="004B25B5"/>
    <w:rsid w:val="004B32FD"/>
    <w:rsid w:val="004B3907"/>
    <w:rsid w:val="004B74AF"/>
    <w:rsid w:val="004C05DE"/>
    <w:rsid w:val="004C12C7"/>
    <w:rsid w:val="004C2117"/>
    <w:rsid w:val="004C3436"/>
    <w:rsid w:val="004C38CA"/>
    <w:rsid w:val="004C4E29"/>
    <w:rsid w:val="004C7048"/>
    <w:rsid w:val="004D2E7A"/>
    <w:rsid w:val="004D49C0"/>
    <w:rsid w:val="004E0A0E"/>
    <w:rsid w:val="004E1E7D"/>
    <w:rsid w:val="004E2EB3"/>
    <w:rsid w:val="004E53DF"/>
    <w:rsid w:val="004E7595"/>
    <w:rsid w:val="004F2D6B"/>
    <w:rsid w:val="004F64E4"/>
    <w:rsid w:val="00501E2E"/>
    <w:rsid w:val="00501F01"/>
    <w:rsid w:val="00506E3B"/>
    <w:rsid w:val="0051690C"/>
    <w:rsid w:val="0051730F"/>
    <w:rsid w:val="00522D60"/>
    <w:rsid w:val="00527A4B"/>
    <w:rsid w:val="005308C8"/>
    <w:rsid w:val="00532AA5"/>
    <w:rsid w:val="00544B38"/>
    <w:rsid w:val="0054653E"/>
    <w:rsid w:val="005529D3"/>
    <w:rsid w:val="00554268"/>
    <w:rsid w:val="00555238"/>
    <w:rsid w:val="00555B74"/>
    <w:rsid w:val="005566AE"/>
    <w:rsid w:val="0055709E"/>
    <w:rsid w:val="005623B6"/>
    <w:rsid w:val="00562CCD"/>
    <w:rsid w:val="005655C8"/>
    <w:rsid w:val="00567723"/>
    <w:rsid w:val="00574666"/>
    <w:rsid w:val="00575813"/>
    <w:rsid w:val="00576755"/>
    <w:rsid w:val="005830D4"/>
    <w:rsid w:val="00585510"/>
    <w:rsid w:val="00586D57"/>
    <w:rsid w:val="00587E6A"/>
    <w:rsid w:val="005902F3"/>
    <w:rsid w:val="005914C4"/>
    <w:rsid w:val="005A374A"/>
    <w:rsid w:val="005A3A94"/>
    <w:rsid w:val="005A6176"/>
    <w:rsid w:val="005A7105"/>
    <w:rsid w:val="005B4F1F"/>
    <w:rsid w:val="005B5238"/>
    <w:rsid w:val="005C6005"/>
    <w:rsid w:val="005D5B08"/>
    <w:rsid w:val="005F1BCD"/>
    <w:rsid w:val="005F41DB"/>
    <w:rsid w:val="005F459F"/>
    <w:rsid w:val="00602338"/>
    <w:rsid w:val="006230B6"/>
    <w:rsid w:val="00624B7F"/>
    <w:rsid w:val="00627FB3"/>
    <w:rsid w:val="00630961"/>
    <w:rsid w:val="006367A5"/>
    <w:rsid w:val="00636A4B"/>
    <w:rsid w:val="00637D29"/>
    <w:rsid w:val="00644328"/>
    <w:rsid w:val="00645A0A"/>
    <w:rsid w:val="00654DF7"/>
    <w:rsid w:val="006554C6"/>
    <w:rsid w:val="00660144"/>
    <w:rsid w:val="00660F1C"/>
    <w:rsid w:val="0066138C"/>
    <w:rsid w:val="006643E6"/>
    <w:rsid w:val="006657C5"/>
    <w:rsid w:val="00667E86"/>
    <w:rsid w:val="0067188B"/>
    <w:rsid w:val="00671EBA"/>
    <w:rsid w:val="006743A7"/>
    <w:rsid w:val="00674426"/>
    <w:rsid w:val="00674B98"/>
    <w:rsid w:val="00675025"/>
    <w:rsid w:val="006763D9"/>
    <w:rsid w:val="00676B03"/>
    <w:rsid w:val="00677DFC"/>
    <w:rsid w:val="0068091B"/>
    <w:rsid w:val="00693251"/>
    <w:rsid w:val="006960F4"/>
    <w:rsid w:val="00697753"/>
    <w:rsid w:val="006A0FAC"/>
    <w:rsid w:val="006B19F6"/>
    <w:rsid w:val="006B351F"/>
    <w:rsid w:val="006C0C0D"/>
    <w:rsid w:val="006C3385"/>
    <w:rsid w:val="006C3E4A"/>
    <w:rsid w:val="006C5A99"/>
    <w:rsid w:val="006D1E6D"/>
    <w:rsid w:val="006D507C"/>
    <w:rsid w:val="006D6CBB"/>
    <w:rsid w:val="006F1532"/>
    <w:rsid w:val="006F314C"/>
    <w:rsid w:val="006F3BCC"/>
    <w:rsid w:val="006F593B"/>
    <w:rsid w:val="006F72F7"/>
    <w:rsid w:val="006F7704"/>
    <w:rsid w:val="006F7F87"/>
    <w:rsid w:val="00701388"/>
    <w:rsid w:val="00712BDC"/>
    <w:rsid w:val="00714AB8"/>
    <w:rsid w:val="007203F3"/>
    <w:rsid w:val="0072303D"/>
    <w:rsid w:val="0072438C"/>
    <w:rsid w:val="00724FFF"/>
    <w:rsid w:val="00725704"/>
    <w:rsid w:val="00731612"/>
    <w:rsid w:val="00734BBD"/>
    <w:rsid w:val="007359A0"/>
    <w:rsid w:val="0074049E"/>
    <w:rsid w:val="00740CC0"/>
    <w:rsid w:val="00745226"/>
    <w:rsid w:val="00747354"/>
    <w:rsid w:val="00750B80"/>
    <w:rsid w:val="00750FA4"/>
    <w:rsid w:val="00751C97"/>
    <w:rsid w:val="007525B6"/>
    <w:rsid w:val="007562CD"/>
    <w:rsid w:val="0076772A"/>
    <w:rsid w:val="00770F50"/>
    <w:rsid w:val="00775164"/>
    <w:rsid w:val="0077569F"/>
    <w:rsid w:val="007762C3"/>
    <w:rsid w:val="00776C4D"/>
    <w:rsid w:val="00781C73"/>
    <w:rsid w:val="0078239B"/>
    <w:rsid w:val="00782DA9"/>
    <w:rsid w:val="00782F63"/>
    <w:rsid w:val="00784453"/>
    <w:rsid w:val="00785484"/>
    <w:rsid w:val="0079048E"/>
    <w:rsid w:val="00790D3E"/>
    <w:rsid w:val="0079402D"/>
    <w:rsid w:val="00794CE7"/>
    <w:rsid w:val="007A1458"/>
    <w:rsid w:val="007A21EF"/>
    <w:rsid w:val="007A3B93"/>
    <w:rsid w:val="007A48CF"/>
    <w:rsid w:val="007A48E1"/>
    <w:rsid w:val="007A57F8"/>
    <w:rsid w:val="007A7090"/>
    <w:rsid w:val="007B5CE1"/>
    <w:rsid w:val="007B734F"/>
    <w:rsid w:val="007C0E18"/>
    <w:rsid w:val="007C4DAA"/>
    <w:rsid w:val="007D0B64"/>
    <w:rsid w:val="007D2E1D"/>
    <w:rsid w:val="007D37FE"/>
    <w:rsid w:val="007D3808"/>
    <w:rsid w:val="007E1724"/>
    <w:rsid w:val="007E6FCF"/>
    <w:rsid w:val="007F3185"/>
    <w:rsid w:val="007F36E0"/>
    <w:rsid w:val="007F45B4"/>
    <w:rsid w:val="007F4B06"/>
    <w:rsid w:val="0080060E"/>
    <w:rsid w:val="00802A32"/>
    <w:rsid w:val="00805F5A"/>
    <w:rsid w:val="00811A4F"/>
    <w:rsid w:val="00812790"/>
    <w:rsid w:val="0081302D"/>
    <w:rsid w:val="00820635"/>
    <w:rsid w:val="00833C92"/>
    <w:rsid w:val="008340B2"/>
    <w:rsid w:val="00835659"/>
    <w:rsid w:val="00844623"/>
    <w:rsid w:val="00845F5E"/>
    <w:rsid w:val="00846803"/>
    <w:rsid w:val="00851274"/>
    <w:rsid w:val="00856253"/>
    <w:rsid w:val="008668CA"/>
    <w:rsid w:val="008702E1"/>
    <w:rsid w:val="0087082F"/>
    <w:rsid w:val="00876420"/>
    <w:rsid w:val="00876D39"/>
    <w:rsid w:val="00880261"/>
    <w:rsid w:val="00890DFF"/>
    <w:rsid w:val="00897FAE"/>
    <w:rsid w:val="008A0A3B"/>
    <w:rsid w:val="008A0E6D"/>
    <w:rsid w:val="008A5107"/>
    <w:rsid w:val="008A7165"/>
    <w:rsid w:val="008B373D"/>
    <w:rsid w:val="008B46A6"/>
    <w:rsid w:val="008C100F"/>
    <w:rsid w:val="008C19EE"/>
    <w:rsid w:val="008C3E35"/>
    <w:rsid w:val="008C6F5D"/>
    <w:rsid w:val="008C71D2"/>
    <w:rsid w:val="008D0F23"/>
    <w:rsid w:val="008D2AA3"/>
    <w:rsid w:val="008D522E"/>
    <w:rsid w:val="008D5E4F"/>
    <w:rsid w:val="008D69B3"/>
    <w:rsid w:val="008D6C21"/>
    <w:rsid w:val="008D7B91"/>
    <w:rsid w:val="008E6D37"/>
    <w:rsid w:val="008E7334"/>
    <w:rsid w:val="008F68B4"/>
    <w:rsid w:val="00900BE1"/>
    <w:rsid w:val="009061B8"/>
    <w:rsid w:val="00907C50"/>
    <w:rsid w:val="00910B52"/>
    <w:rsid w:val="009157BF"/>
    <w:rsid w:val="00916E39"/>
    <w:rsid w:val="009223C3"/>
    <w:rsid w:val="00922A93"/>
    <w:rsid w:val="00923CD1"/>
    <w:rsid w:val="00933F96"/>
    <w:rsid w:val="00934568"/>
    <w:rsid w:val="00941925"/>
    <w:rsid w:val="009424F5"/>
    <w:rsid w:val="00945A50"/>
    <w:rsid w:val="00950540"/>
    <w:rsid w:val="00951466"/>
    <w:rsid w:val="00953037"/>
    <w:rsid w:val="00957410"/>
    <w:rsid w:val="00961234"/>
    <w:rsid w:val="009648E6"/>
    <w:rsid w:val="00964C2C"/>
    <w:rsid w:val="00972863"/>
    <w:rsid w:val="00982C9A"/>
    <w:rsid w:val="00983BA4"/>
    <w:rsid w:val="00983F87"/>
    <w:rsid w:val="00984339"/>
    <w:rsid w:val="00987B03"/>
    <w:rsid w:val="00996F17"/>
    <w:rsid w:val="009A1F0E"/>
    <w:rsid w:val="009A5F72"/>
    <w:rsid w:val="009B202E"/>
    <w:rsid w:val="009C3764"/>
    <w:rsid w:val="009C52CA"/>
    <w:rsid w:val="009E00FC"/>
    <w:rsid w:val="009E35C0"/>
    <w:rsid w:val="009E3927"/>
    <w:rsid w:val="009E591D"/>
    <w:rsid w:val="009E7F90"/>
    <w:rsid w:val="009F13EF"/>
    <w:rsid w:val="009F3505"/>
    <w:rsid w:val="009F4F90"/>
    <w:rsid w:val="009F5C9C"/>
    <w:rsid w:val="00A017A2"/>
    <w:rsid w:val="00A0267A"/>
    <w:rsid w:val="00A17786"/>
    <w:rsid w:val="00A22A5E"/>
    <w:rsid w:val="00A24650"/>
    <w:rsid w:val="00A27171"/>
    <w:rsid w:val="00A34C15"/>
    <w:rsid w:val="00A4036E"/>
    <w:rsid w:val="00A41F11"/>
    <w:rsid w:val="00A42580"/>
    <w:rsid w:val="00A53B6B"/>
    <w:rsid w:val="00A53DE4"/>
    <w:rsid w:val="00A607C8"/>
    <w:rsid w:val="00A730A6"/>
    <w:rsid w:val="00A83699"/>
    <w:rsid w:val="00A83707"/>
    <w:rsid w:val="00A86A3A"/>
    <w:rsid w:val="00A94CB2"/>
    <w:rsid w:val="00A94E0D"/>
    <w:rsid w:val="00A94F44"/>
    <w:rsid w:val="00AA5A09"/>
    <w:rsid w:val="00AA7348"/>
    <w:rsid w:val="00AA7B91"/>
    <w:rsid w:val="00AB24DD"/>
    <w:rsid w:val="00AB3B2C"/>
    <w:rsid w:val="00AB7F6D"/>
    <w:rsid w:val="00AC3F81"/>
    <w:rsid w:val="00AC5F1A"/>
    <w:rsid w:val="00AC615E"/>
    <w:rsid w:val="00AC6C49"/>
    <w:rsid w:val="00AD7874"/>
    <w:rsid w:val="00AE6922"/>
    <w:rsid w:val="00AF3D45"/>
    <w:rsid w:val="00AF57A5"/>
    <w:rsid w:val="00AF60CF"/>
    <w:rsid w:val="00B0127D"/>
    <w:rsid w:val="00B028A0"/>
    <w:rsid w:val="00B0620B"/>
    <w:rsid w:val="00B14232"/>
    <w:rsid w:val="00B14904"/>
    <w:rsid w:val="00B25C08"/>
    <w:rsid w:val="00B26FB0"/>
    <w:rsid w:val="00B30B9F"/>
    <w:rsid w:val="00B30E5C"/>
    <w:rsid w:val="00B319CB"/>
    <w:rsid w:val="00B31CE1"/>
    <w:rsid w:val="00B347E2"/>
    <w:rsid w:val="00B36A13"/>
    <w:rsid w:val="00B37B63"/>
    <w:rsid w:val="00B4033D"/>
    <w:rsid w:val="00B40684"/>
    <w:rsid w:val="00B43EE5"/>
    <w:rsid w:val="00B44C86"/>
    <w:rsid w:val="00B47C76"/>
    <w:rsid w:val="00B5576A"/>
    <w:rsid w:val="00B56D29"/>
    <w:rsid w:val="00B61635"/>
    <w:rsid w:val="00B62ED7"/>
    <w:rsid w:val="00B63805"/>
    <w:rsid w:val="00B6639C"/>
    <w:rsid w:val="00B75812"/>
    <w:rsid w:val="00B76ED8"/>
    <w:rsid w:val="00B82964"/>
    <w:rsid w:val="00B856C4"/>
    <w:rsid w:val="00B8792F"/>
    <w:rsid w:val="00B90ACA"/>
    <w:rsid w:val="00B90BAD"/>
    <w:rsid w:val="00B91B17"/>
    <w:rsid w:val="00B952CD"/>
    <w:rsid w:val="00BA028D"/>
    <w:rsid w:val="00BA0A32"/>
    <w:rsid w:val="00BA0A7A"/>
    <w:rsid w:val="00BA3B9D"/>
    <w:rsid w:val="00BA54BA"/>
    <w:rsid w:val="00BA62AB"/>
    <w:rsid w:val="00BB0F66"/>
    <w:rsid w:val="00BB69F6"/>
    <w:rsid w:val="00BD0EB9"/>
    <w:rsid w:val="00BD39A2"/>
    <w:rsid w:val="00BD64AD"/>
    <w:rsid w:val="00BD6C16"/>
    <w:rsid w:val="00BE10D0"/>
    <w:rsid w:val="00BE1AA1"/>
    <w:rsid w:val="00BE65D1"/>
    <w:rsid w:val="00BF2D37"/>
    <w:rsid w:val="00BF3D06"/>
    <w:rsid w:val="00BF3E24"/>
    <w:rsid w:val="00C013EC"/>
    <w:rsid w:val="00C044B3"/>
    <w:rsid w:val="00C1346B"/>
    <w:rsid w:val="00C13FC8"/>
    <w:rsid w:val="00C20EFF"/>
    <w:rsid w:val="00C227D1"/>
    <w:rsid w:val="00C2354B"/>
    <w:rsid w:val="00C23C3D"/>
    <w:rsid w:val="00C27584"/>
    <w:rsid w:val="00C30138"/>
    <w:rsid w:val="00C353B5"/>
    <w:rsid w:val="00C37F98"/>
    <w:rsid w:val="00C421AA"/>
    <w:rsid w:val="00C453A7"/>
    <w:rsid w:val="00C45CF4"/>
    <w:rsid w:val="00C55989"/>
    <w:rsid w:val="00C5690E"/>
    <w:rsid w:val="00C56B4C"/>
    <w:rsid w:val="00C62DAF"/>
    <w:rsid w:val="00C664BF"/>
    <w:rsid w:val="00C6732D"/>
    <w:rsid w:val="00C76AD4"/>
    <w:rsid w:val="00C77941"/>
    <w:rsid w:val="00C83C10"/>
    <w:rsid w:val="00C909E1"/>
    <w:rsid w:val="00CA0EB2"/>
    <w:rsid w:val="00CA3122"/>
    <w:rsid w:val="00CA56A4"/>
    <w:rsid w:val="00CB1214"/>
    <w:rsid w:val="00CB34DD"/>
    <w:rsid w:val="00CB47A3"/>
    <w:rsid w:val="00CB5388"/>
    <w:rsid w:val="00CC0A7A"/>
    <w:rsid w:val="00CC16B2"/>
    <w:rsid w:val="00CD0CDB"/>
    <w:rsid w:val="00CD1C88"/>
    <w:rsid w:val="00CD6717"/>
    <w:rsid w:val="00CE4341"/>
    <w:rsid w:val="00CF0AFF"/>
    <w:rsid w:val="00CF1D16"/>
    <w:rsid w:val="00CF440C"/>
    <w:rsid w:val="00CF6062"/>
    <w:rsid w:val="00D0480F"/>
    <w:rsid w:val="00D12CC2"/>
    <w:rsid w:val="00D13085"/>
    <w:rsid w:val="00D1424C"/>
    <w:rsid w:val="00D21A3E"/>
    <w:rsid w:val="00D2500D"/>
    <w:rsid w:val="00D30108"/>
    <w:rsid w:val="00D31EA0"/>
    <w:rsid w:val="00D37610"/>
    <w:rsid w:val="00D436A6"/>
    <w:rsid w:val="00D458D5"/>
    <w:rsid w:val="00D45B69"/>
    <w:rsid w:val="00D529BA"/>
    <w:rsid w:val="00D53B48"/>
    <w:rsid w:val="00D56669"/>
    <w:rsid w:val="00D629B6"/>
    <w:rsid w:val="00D6356C"/>
    <w:rsid w:val="00D66C8B"/>
    <w:rsid w:val="00D675D2"/>
    <w:rsid w:val="00D67903"/>
    <w:rsid w:val="00D71DA8"/>
    <w:rsid w:val="00D73FD0"/>
    <w:rsid w:val="00D7788C"/>
    <w:rsid w:val="00D81770"/>
    <w:rsid w:val="00D81D7F"/>
    <w:rsid w:val="00D9481D"/>
    <w:rsid w:val="00DA2957"/>
    <w:rsid w:val="00DA3280"/>
    <w:rsid w:val="00DA41AE"/>
    <w:rsid w:val="00DA7B03"/>
    <w:rsid w:val="00DB1DC8"/>
    <w:rsid w:val="00DB22D1"/>
    <w:rsid w:val="00DB4433"/>
    <w:rsid w:val="00DB4EF1"/>
    <w:rsid w:val="00DB6AA1"/>
    <w:rsid w:val="00DC3B57"/>
    <w:rsid w:val="00DD336D"/>
    <w:rsid w:val="00DD5AC6"/>
    <w:rsid w:val="00DD6E15"/>
    <w:rsid w:val="00DE1B78"/>
    <w:rsid w:val="00DE2E56"/>
    <w:rsid w:val="00DE470C"/>
    <w:rsid w:val="00DE4C20"/>
    <w:rsid w:val="00DE54E3"/>
    <w:rsid w:val="00DE76AC"/>
    <w:rsid w:val="00DF15EB"/>
    <w:rsid w:val="00DF4862"/>
    <w:rsid w:val="00DF7D0D"/>
    <w:rsid w:val="00E1192C"/>
    <w:rsid w:val="00E167BE"/>
    <w:rsid w:val="00E17032"/>
    <w:rsid w:val="00E2460A"/>
    <w:rsid w:val="00E2586A"/>
    <w:rsid w:val="00E30CE5"/>
    <w:rsid w:val="00E32DA4"/>
    <w:rsid w:val="00E42AF6"/>
    <w:rsid w:val="00E4502B"/>
    <w:rsid w:val="00E45868"/>
    <w:rsid w:val="00E50671"/>
    <w:rsid w:val="00E52304"/>
    <w:rsid w:val="00E60705"/>
    <w:rsid w:val="00E61245"/>
    <w:rsid w:val="00E615B9"/>
    <w:rsid w:val="00E62E7E"/>
    <w:rsid w:val="00E63F24"/>
    <w:rsid w:val="00E64532"/>
    <w:rsid w:val="00E65961"/>
    <w:rsid w:val="00E7612B"/>
    <w:rsid w:val="00E8049F"/>
    <w:rsid w:val="00E825A3"/>
    <w:rsid w:val="00E929D1"/>
    <w:rsid w:val="00E97D2F"/>
    <w:rsid w:val="00EA186D"/>
    <w:rsid w:val="00EA2D18"/>
    <w:rsid w:val="00EA3C77"/>
    <w:rsid w:val="00EA55E4"/>
    <w:rsid w:val="00EA67AE"/>
    <w:rsid w:val="00EB02F5"/>
    <w:rsid w:val="00EB6F82"/>
    <w:rsid w:val="00EC00CF"/>
    <w:rsid w:val="00EC0A52"/>
    <w:rsid w:val="00EC162C"/>
    <w:rsid w:val="00EC65B7"/>
    <w:rsid w:val="00EC6BD5"/>
    <w:rsid w:val="00ED03D3"/>
    <w:rsid w:val="00ED32E7"/>
    <w:rsid w:val="00ED4E03"/>
    <w:rsid w:val="00EE1DD4"/>
    <w:rsid w:val="00EE1E8A"/>
    <w:rsid w:val="00EE5EBF"/>
    <w:rsid w:val="00EF4263"/>
    <w:rsid w:val="00F06193"/>
    <w:rsid w:val="00F0774B"/>
    <w:rsid w:val="00F10BBB"/>
    <w:rsid w:val="00F11016"/>
    <w:rsid w:val="00F123B6"/>
    <w:rsid w:val="00F129EF"/>
    <w:rsid w:val="00F134C7"/>
    <w:rsid w:val="00F15555"/>
    <w:rsid w:val="00F2608E"/>
    <w:rsid w:val="00F26B53"/>
    <w:rsid w:val="00F317C9"/>
    <w:rsid w:val="00F32344"/>
    <w:rsid w:val="00F326EC"/>
    <w:rsid w:val="00F33433"/>
    <w:rsid w:val="00F35402"/>
    <w:rsid w:val="00F37139"/>
    <w:rsid w:val="00F377A0"/>
    <w:rsid w:val="00F408B1"/>
    <w:rsid w:val="00F41BA1"/>
    <w:rsid w:val="00F42F25"/>
    <w:rsid w:val="00F45CEB"/>
    <w:rsid w:val="00F46811"/>
    <w:rsid w:val="00F472CA"/>
    <w:rsid w:val="00F5066A"/>
    <w:rsid w:val="00F542F8"/>
    <w:rsid w:val="00F54A0A"/>
    <w:rsid w:val="00F64402"/>
    <w:rsid w:val="00F64658"/>
    <w:rsid w:val="00F67FA6"/>
    <w:rsid w:val="00F72147"/>
    <w:rsid w:val="00F722C1"/>
    <w:rsid w:val="00F76730"/>
    <w:rsid w:val="00F76D3E"/>
    <w:rsid w:val="00F82AE9"/>
    <w:rsid w:val="00F91E09"/>
    <w:rsid w:val="00F929D2"/>
    <w:rsid w:val="00F938B0"/>
    <w:rsid w:val="00F9619E"/>
    <w:rsid w:val="00F961E5"/>
    <w:rsid w:val="00FA3B8A"/>
    <w:rsid w:val="00FA4CD0"/>
    <w:rsid w:val="00FA5399"/>
    <w:rsid w:val="00FB1893"/>
    <w:rsid w:val="00FB2D0B"/>
    <w:rsid w:val="00FB748F"/>
    <w:rsid w:val="00FD6D23"/>
    <w:rsid w:val="00FE3CB8"/>
    <w:rsid w:val="00FE5763"/>
    <w:rsid w:val="00FF092E"/>
    <w:rsid w:val="00FF3919"/>
    <w:rsid w:val="00FF43CB"/>
    <w:rsid w:val="00FF6E32"/>
    <w:rsid w:val="00FF7863"/>
    <w:rsid w:val="01C35A79"/>
    <w:rsid w:val="03230B16"/>
    <w:rsid w:val="04275653"/>
    <w:rsid w:val="05380EAE"/>
    <w:rsid w:val="059B17AE"/>
    <w:rsid w:val="06817AF4"/>
    <w:rsid w:val="06D47091"/>
    <w:rsid w:val="06F71672"/>
    <w:rsid w:val="07987EA2"/>
    <w:rsid w:val="07B80342"/>
    <w:rsid w:val="085F0F63"/>
    <w:rsid w:val="0BC6172C"/>
    <w:rsid w:val="0CAD69F4"/>
    <w:rsid w:val="0D274E38"/>
    <w:rsid w:val="0D4B4161"/>
    <w:rsid w:val="0D4C0CF7"/>
    <w:rsid w:val="0DF0147E"/>
    <w:rsid w:val="0FAC6308"/>
    <w:rsid w:val="12851C93"/>
    <w:rsid w:val="13C41B2D"/>
    <w:rsid w:val="17DC0D0E"/>
    <w:rsid w:val="19EC3BBB"/>
    <w:rsid w:val="1A41102F"/>
    <w:rsid w:val="1A75403C"/>
    <w:rsid w:val="1EEF092B"/>
    <w:rsid w:val="1F147C5A"/>
    <w:rsid w:val="1FC1009A"/>
    <w:rsid w:val="214333F7"/>
    <w:rsid w:val="2232524E"/>
    <w:rsid w:val="23FD08A7"/>
    <w:rsid w:val="250D7C25"/>
    <w:rsid w:val="251955DD"/>
    <w:rsid w:val="2B5A1910"/>
    <w:rsid w:val="2DF37598"/>
    <w:rsid w:val="2E886EED"/>
    <w:rsid w:val="2FAA3C59"/>
    <w:rsid w:val="31647B8F"/>
    <w:rsid w:val="32E50287"/>
    <w:rsid w:val="32EA2905"/>
    <w:rsid w:val="33943F54"/>
    <w:rsid w:val="34242A09"/>
    <w:rsid w:val="347B5AAA"/>
    <w:rsid w:val="35CE4FBB"/>
    <w:rsid w:val="37EA5030"/>
    <w:rsid w:val="3A977D40"/>
    <w:rsid w:val="3AA669C5"/>
    <w:rsid w:val="3DA86A8D"/>
    <w:rsid w:val="3F5817A7"/>
    <w:rsid w:val="3FF421B7"/>
    <w:rsid w:val="40717191"/>
    <w:rsid w:val="43317C70"/>
    <w:rsid w:val="48484D51"/>
    <w:rsid w:val="48A16DAC"/>
    <w:rsid w:val="48DA7B64"/>
    <w:rsid w:val="4A594BD4"/>
    <w:rsid w:val="4AB174C4"/>
    <w:rsid w:val="4B500CB2"/>
    <w:rsid w:val="4DA76C2F"/>
    <w:rsid w:val="4E406B13"/>
    <w:rsid w:val="4FC91AAE"/>
    <w:rsid w:val="5072272A"/>
    <w:rsid w:val="54611938"/>
    <w:rsid w:val="54F03873"/>
    <w:rsid w:val="55B50896"/>
    <w:rsid w:val="591A4893"/>
    <w:rsid w:val="5E675B4A"/>
    <w:rsid w:val="60296A57"/>
    <w:rsid w:val="60F8284A"/>
    <w:rsid w:val="64A1497A"/>
    <w:rsid w:val="650A7D98"/>
    <w:rsid w:val="66AF1335"/>
    <w:rsid w:val="6AC326FD"/>
    <w:rsid w:val="6E13641D"/>
    <w:rsid w:val="6E81156D"/>
    <w:rsid w:val="70647164"/>
    <w:rsid w:val="734106F6"/>
    <w:rsid w:val="73452B81"/>
    <w:rsid w:val="73C303C0"/>
    <w:rsid w:val="74214BB9"/>
    <w:rsid w:val="76B80922"/>
    <w:rsid w:val="771F6950"/>
    <w:rsid w:val="7C0A4CA1"/>
    <w:rsid w:val="7C266554"/>
    <w:rsid w:val="7C5D6E05"/>
    <w:rsid w:val="7C606EAF"/>
    <w:rsid w:val="7D8328A7"/>
    <w:rsid w:val="7EBA386F"/>
    <w:rsid w:val="7F374D96"/>
    <w:rsid w:val="7F6532FF"/>
    <w:rsid w:val="7FB84C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黑体" w:cstheme="minorBidi"/>
      <w:kern w:val="2"/>
      <w:sz w:val="44"/>
      <w:szCs w:val="21"/>
      <w:lang w:val="en-US" w:eastAsia="zh-CN" w:bidi="ar-SA"/>
    </w:rPr>
  </w:style>
  <w:style w:type="paragraph" w:styleId="3">
    <w:name w:val="heading 1"/>
    <w:basedOn w:val="1"/>
    <w:next w:val="1"/>
    <w:link w:val="33"/>
    <w:qFormat/>
    <w:uiPriority w:val="9"/>
    <w:pPr>
      <w:keepNext/>
      <w:keepLines/>
      <w:adjustRightInd w:val="0"/>
      <w:snapToGrid w:val="0"/>
      <w:spacing w:line="360" w:lineRule="auto"/>
      <w:jc w:val="center"/>
      <w:outlineLvl w:val="0"/>
    </w:pPr>
    <w:rPr>
      <w:bCs/>
      <w:snapToGrid w:val="0"/>
      <w:kern w:val="0"/>
      <w:sz w:val="36"/>
      <w:szCs w:val="44"/>
    </w:rPr>
  </w:style>
  <w:style w:type="paragraph" w:styleId="4">
    <w:name w:val="heading 2"/>
    <w:basedOn w:val="1"/>
    <w:next w:val="1"/>
    <w:link w:val="34"/>
    <w:unhideWhenUsed/>
    <w:qFormat/>
    <w:uiPriority w:val="9"/>
    <w:pPr>
      <w:keepNext/>
      <w:keepLines/>
      <w:outlineLvl w:val="1"/>
    </w:pPr>
    <w:rPr>
      <w:rFonts w:cstheme="majorBidi"/>
      <w:bCs/>
      <w:sz w:val="32"/>
      <w:szCs w:val="32"/>
    </w:rPr>
  </w:style>
  <w:style w:type="paragraph" w:styleId="5">
    <w:name w:val="heading 3"/>
    <w:basedOn w:val="1"/>
    <w:next w:val="1"/>
    <w:link w:val="35"/>
    <w:unhideWhenUsed/>
    <w:qFormat/>
    <w:uiPriority w:val="9"/>
    <w:pPr>
      <w:keepNext/>
      <w:keepLines/>
      <w:spacing w:line="360" w:lineRule="auto"/>
      <w:ind w:firstLine="200" w:firstLineChars="200"/>
      <w:outlineLvl w:val="2"/>
    </w:pPr>
    <w:rPr>
      <w:rFonts w:eastAsia="仿宋_GB2312"/>
      <w:b/>
      <w:bCs/>
      <w:snapToGrid w:val="0"/>
      <w:sz w:val="30"/>
      <w:szCs w:val="32"/>
    </w:rPr>
  </w:style>
  <w:style w:type="paragraph" w:styleId="6">
    <w:name w:val="heading 4"/>
    <w:basedOn w:val="5"/>
    <w:next w:val="7"/>
    <w:link w:val="45"/>
    <w:unhideWhenUsed/>
    <w:qFormat/>
    <w:uiPriority w:val="9"/>
    <w:pPr>
      <w:adjustRightInd w:val="0"/>
      <w:snapToGrid w:val="0"/>
      <w:jc w:val="both"/>
      <w:outlineLvl w:val="3"/>
    </w:pPr>
    <w:rPr>
      <w:rFonts w:asciiTheme="majorHAnsi" w:hAnsiTheme="majorHAnsi" w:cstheme="majorBidi"/>
      <w:bCs w:val="0"/>
      <w:szCs w:val="28"/>
    </w:rPr>
  </w:style>
  <w:style w:type="paragraph" w:styleId="7">
    <w:name w:val="heading 5"/>
    <w:basedOn w:val="1"/>
    <w:next w:val="1"/>
    <w:link w:val="47"/>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unhideWhenUsed/>
    <w:qFormat/>
    <w:uiPriority w:val="99"/>
    <w:pPr>
      <w:spacing w:after="120"/>
    </w:pPr>
  </w:style>
  <w:style w:type="paragraph" w:styleId="8">
    <w:name w:val="toc 7"/>
    <w:basedOn w:val="1"/>
    <w:next w:val="1"/>
    <w:unhideWhenUsed/>
    <w:qFormat/>
    <w:uiPriority w:val="39"/>
    <w:pPr>
      <w:ind w:left="2640"/>
    </w:pPr>
    <w:rPr>
      <w:rFonts w:asciiTheme="minorHAnsi" w:eastAsiaTheme="minorHAnsi"/>
      <w:sz w:val="18"/>
      <w:szCs w:val="18"/>
    </w:rPr>
  </w:style>
  <w:style w:type="paragraph" w:styleId="9">
    <w:name w:val="toc 5"/>
    <w:basedOn w:val="1"/>
    <w:next w:val="1"/>
    <w:unhideWhenUsed/>
    <w:qFormat/>
    <w:uiPriority w:val="39"/>
    <w:pPr>
      <w:ind w:left="1760"/>
    </w:pPr>
    <w:rPr>
      <w:rFonts w:asciiTheme="minorHAnsi" w:eastAsiaTheme="minorHAnsi"/>
      <w:sz w:val="18"/>
      <w:szCs w:val="18"/>
    </w:rPr>
  </w:style>
  <w:style w:type="paragraph" w:styleId="10">
    <w:name w:val="toc 3"/>
    <w:basedOn w:val="1"/>
    <w:next w:val="1"/>
    <w:unhideWhenUsed/>
    <w:qFormat/>
    <w:uiPriority w:val="39"/>
    <w:pPr>
      <w:tabs>
        <w:tab w:val="right" w:leader="dot" w:pos="8302"/>
      </w:tabs>
      <w:ind w:left="880"/>
    </w:pPr>
    <w:rPr>
      <w:rFonts w:asciiTheme="minorHAnsi" w:eastAsiaTheme="minorHAnsi"/>
      <w:i/>
      <w:iCs/>
      <w:sz w:val="20"/>
      <w:szCs w:val="20"/>
    </w:rPr>
  </w:style>
  <w:style w:type="paragraph" w:styleId="11">
    <w:name w:val="toc 8"/>
    <w:basedOn w:val="1"/>
    <w:next w:val="1"/>
    <w:unhideWhenUsed/>
    <w:qFormat/>
    <w:uiPriority w:val="39"/>
    <w:pPr>
      <w:ind w:left="3080"/>
    </w:pPr>
    <w:rPr>
      <w:rFonts w:asciiTheme="minorHAnsi" w:eastAsiaTheme="minorHAnsi"/>
      <w:sz w:val="18"/>
      <w:szCs w:val="18"/>
    </w:rPr>
  </w:style>
  <w:style w:type="paragraph" w:styleId="12">
    <w:name w:val="Balloon Text"/>
    <w:basedOn w:val="1"/>
    <w:link w:val="39"/>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pPr>
    <w:rPr>
      <w:sz w:val="18"/>
      <w:szCs w:val="18"/>
    </w:rPr>
  </w:style>
  <w:style w:type="paragraph" w:styleId="15">
    <w:name w:val="toc 1"/>
    <w:basedOn w:val="1"/>
    <w:next w:val="1"/>
    <w:unhideWhenUsed/>
    <w:qFormat/>
    <w:uiPriority w:val="39"/>
    <w:pPr>
      <w:adjustRightInd w:val="0"/>
      <w:snapToGrid w:val="0"/>
      <w:spacing w:line="360" w:lineRule="auto"/>
    </w:pPr>
    <w:rPr>
      <w:rFonts w:eastAsia="宋体" w:asciiTheme="minorHAnsi"/>
      <w:b/>
      <w:bCs/>
      <w:caps/>
      <w:sz w:val="30"/>
      <w:szCs w:val="20"/>
    </w:rPr>
  </w:style>
  <w:style w:type="paragraph" w:styleId="16">
    <w:name w:val="toc 4"/>
    <w:basedOn w:val="1"/>
    <w:next w:val="1"/>
    <w:unhideWhenUsed/>
    <w:qFormat/>
    <w:uiPriority w:val="39"/>
    <w:pPr>
      <w:ind w:left="1320"/>
    </w:pPr>
    <w:rPr>
      <w:rFonts w:asciiTheme="minorHAnsi" w:eastAsiaTheme="minorHAnsi"/>
      <w:sz w:val="18"/>
      <w:szCs w:val="18"/>
    </w:rPr>
  </w:style>
  <w:style w:type="paragraph" w:styleId="17">
    <w:name w:val="toc 6"/>
    <w:basedOn w:val="1"/>
    <w:next w:val="1"/>
    <w:unhideWhenUsed/>
    <w:qFormat/>
    <w:uiPriority w:val="39"/>
    <w:pPr>
      <w:ind w:left="2200"/>
    </w:pPr>
    <w:rPr>
      <w:rFonts w:asciiTheme="minorHAnsi" w:eastAsiaTheme="minorHAnsi"/>
      <w:sz w:val="18"/>
      <w:szCs w:val="18"/>
    </w:rPr>
  </w:style>
  <w:style w:type="paragraph" w:styleId="18">
    <w:name w:val="toc 2"/>
    <w:basedOn w:val="1"/>
    <w:next w:val="1"/>
    <w:unhideWhenUsed/>
    <w:qFormat/>
    <w:uiPriority w:val="39"/>
    <w:pPr>
      <w:ind w:left="440"/>
    </w:pPr>
    <w:rPr>
      <w:rFonts w:asciiTheme="minorHAnsi" w:eastAsiaTheme="minorHAnsi"/>
      <w:smallCaps/>
      <w:sz w:val="20"/>
      <w:szCs w:val="20"/>
    </w:rPr>
  </w:style>
  <w:style w:type="paragraph" w:styleId="19">
    <w:name w:val="toc 9"/>
    <w:basedOn w:val="1"/>
    <w:next w:val="1"/>
    <w:unhideWhenUsed/>
    <w:qFormat/>
    <w:uiPriority w:val="39"/>
    <w:pPr>
      <w:ind w:left="3520"/>
    </w:pPr>
    <w:rPr>
      <w:rFonts w:asciiTheme="minorHAnsi" w:eastAsiaTheme="minorHAnsi"/>
      <w:sz w:val="18"/>
      <w:szCs w:val="18"/>
    </w:rPr>
  </w:style>
  <w:style w:type="paragraph" w:styleId="20">
    <w:name w:val="Normal (Web)"/>
    <w:basedOn w:val="1"/>
    <w:semiHidden/>
    <w:unhideWhenUsed/>
    <w:qFormat/>
    <w:uiPriority w:val="99"/>
    <w:pPr>
      <w:spacing w:before="100" w:beforeAutospacing="1" w:after="100" w:afterAutospacing="1"/>
    </w:pPr>
    <w:rPr>
      <w:rFonts w:ascii="宋体" w:hAnsi="宋体" w:eastAsia="宋体" w:cs="宋体"/>
      <w:kern w:val="0"/>
      <w:sz w:val="24"/>
      <w:szCs w:val="24"/>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页眉 字符"/>
    <w:basedOn w:val="23"/>
    <w:link w:val="14"/>
    <w:qFormat/>
    <w:uiPriority w:val="99"/>
    <w:rPr>
      <w:sz w:val="18"/>
      <w:szCs w:val="18"/>
    </w:rPr>
  </w:style>
  <w:style w:type="character" w:customStyle="1" w:styleId="26">
    <w:name w:val="页脚 字符"/>
    <w:basedOn w:val="23"/>
    <w:link w:val="13"/>
    <w:qFormat/>
    <w:uiPriority w:val="99"/>
    <w:rPr>
      <w:sz w:val="18"/>
      <w:szCs w:val="18"/>
    </w:rPr>
  </w:style>
  <w:style w:type="paragraph" w:styleId="27">
    <w:name w:val="No Spacing"/>
    <w:qFormat/>
    <w:uiPriority w:val="1"/>
    <w:pPr>
      <w:widowControl w:val="0"/>
      <w:adjustRightInd w:val="0"/>
      <w:snapToGrid w:val="0"/>
      <w:spacing w:line="360" w:lineRule="auto"/>
      <w:jc w:val="center"/>
    </w:pPr>
    <w:rPr>
      <w:rFonts w:ascii="Times New Roman" w:hAnsi="Times New Roman" w:eastAsia="黑体" w:cstheme="minorBidi"/>
      <w:kern w:val="2"/>
      <w:sz w:val="36"/>
      <w:szCs w:val="21"/>
      <w:lang w:val="en-US" w:eastAsia="zh-CN" w:bidi="ar-SA"/>
    </w:rPr>
  </w:style>
  <w:style w:type="paragraph" w:customStyle="1" w:styleId="28">
    <w:name w:val="总则0"/>
    <w:basedOn w:val="1"/>
    <w:link w:val="30"/>
    <w:qFormat/>
    <w:uiPriority w:val="0"/>
    <w:rPr>
      <w:sz w:val="36"/>
      <w:szCs w:val="36"/>
    </w:rPr>
  </w:style>
  <w:style w:type="paragraph" w:customStyle="1" w:styleId="29">
    <w:name w:val="正文内容"/>
    <w:basedOn w:val="1"/>
    <w:link w:val="31"/>
    <w:qFormat/>
    <w:uiPriority w:val="0"/>
    <w:pPr>
      <w:adjustRightInd w:val="0"/>
      <w:snapToGrid w:val="0"/>
      <w:spacing w:line="360" w:lineRule="auto"/>
      <w:ind w:firstLine="200" w:firstLineChars="200"/>
      <w:jc w:val="both"/>
    </w:pPr>
    <w:rPr>
      <w:rFonts w:eastAsia="仿宋_GB2312"/>
      <w:snapToGrid w:val="0"/>
      <w:sz w:val="30"/>
    </w:rPr>
  </w:style>
  <w:style w:type="character" w:customStyle="1" w:styleId="30">
    <w:name w:val="总则0 字符"/>
    <w:basedOn w:val="23"/>
    <w:link w:val="28"/>
    <w:qFormat/>
    <w:uiPriority w:val="0"/>
    <w:rPr>
      <w:rFonts w:ascii="Times New Roman" w:hAnsi="Times New Roman" w:eastAsia="黑体"/>
      <w:sz w:val="36"/>
      <w:szCs w:val="36"/>
    </w:rPr>
  </w:style>
  <w:style w:type="character" w:customStyle="1" w:styleId="31">
    <w:name w:val="正文内容 字符"/>
    <w:basedOn w:val="23"/>
    <w:link w:val="29"/>
    <w:qFormat/>
    <w:uiPriority w:val="0"/>
    <w:rPr>
      <w:rFonts w:ascii="Times New Roman" w:hAnsi="Times New Roman" w:eastAsia="仿宋_GB2312"/>
      <w:snapToGrid w:val="0"/>
      <w:sz w:val="30"/>
    </w:rPr>
  </w:style>
  <w:style w:type="character" w:customStyle="1" w:styleId="32">
    <w:name w:val="正文文本 字符"/>
    <w:basedOn w:val="23"/>
    <w:link w:val="2"/>
    <w:qFormat/>
    <w:uiPriority w:val="99"/>
  </w:style>
  <w:style w:type="character" w:customStyle="1" w:styleId="33">
    <w:name w:val="标题 1 字符"/>
    <w:basedOn w:val="23"/>
    <w:link w:val="3"/>
    <w:qFormat/>
    <w:uiPriority w:val="9"/>
    <w:rPr>
      <w:rFonts w:ascii="Times New Roman" w:hAnsi="Times New Roman" w:eastAsia="黑体"/>
      <w:bCs/>
      <w:snapToGrid w:val="0"/>
      <w:kern w:val="0"/>
      <w:sz w:val="36"/>
      <w:szCs w:val="44"/>
    </w:rPr>
  </w:style>
  <w:style w:type="character" w:customStyle="1" w:styleId="34">
    <w:name w:val="标题 2 字符"/>
    <w:basedOn w:val="23"/>
    <w:link w:val="4"/>
    <w:qFormat/>
    <w:uiPriority w:val="9"/>
    <w:rPr>
      <w:rFonts w:ascii="Times New Roman" w:hAnsi="Times New Roman" w:eastAsia="黑体" w:cstheme="majorBidi"/>
      <w:bCs/>
      <w:sz w:val="32"/>
      <w:szCs w:val="32"/>
    </w:rPr>
  </w:style>
  <w:style w:type="character" w:customStyle="1" w:styleId="35">
    <w:name w:val="标题 3 字符"/>
    <w:basedOn w:val="23"/>
    <w:link w:val="5"/>
    <w:qFormat/>
    <w:uiPriority w:val="9"/>
    <w:rPr>
      <w:rFonts w:ascii="Times New Roman" w:hAnsi="Times New Roman" w:eastAsia="仿宋_GB2312"/>
      <w:b/>
      <w:bCs/>
      <w:snapToGrid w:val="0"/>
      <w:sz w:val="30"/>
      <w:szCs w:val="32"/>
    </w:rPr>
  </w:style>
  <w:style w:type="paragraph" w:styleId="36">
    <w:name w:val="List Paragraph"/>
    <w:basedOn w:val="1"/>
    <w:qFormat/>
    <w:uiPriority w:val="34"/>
    <w:pPr>
      <w:ind w:firstLine="420" w:firstLineChars="200"/>
    </w:pPr>
  </w:style>
  <w:style w:type="paragraph" w:customStyle="1" w:styleId="37">
    <w:name w:val="标题内容"/>
    <w:basedOn w:val="29"/>
    <w:link w:val="38"/>
    <w:qFormat/>
    <w:uiPriority w:val="0"/>
    <w:pPr>
      <w:ind w:firstLine="0" w:firstLineChars="0"/>
      <w:jc w:val="left"/>
    </w:pPr>
    <w:rPr>
      <w:b/>
    </w:rPr>
  </w:style>
  <w:style w:type="character" w:customStyle="1" w:styleId="38">
    <w:name w:val="标题内容 字符"/>
    <w:basedOn w:val="31"/>
    <w:link w:val="37"/>
    <w:qFormat/>
    <w:uiPriority w:val="0"/>
    <w:rPr>
      <w:rFonts w:ascii="Times New Roman" w:hAnsi="Times New Roman" w:eastAsia="仿宋_GB2312"/>
      <w:b/>
      <w:snapToGrid w:val="0"/>
      <w:kern w:val="0"/>
      <w:sz w:val="30"/>
    </w:rPr>
  </w:style>
  <w:style w:type="character" w:customStyle="1" w:styleId="39">
    <w:name w:val="批注框文本 字符"/>
    <w:basedOn w:val="23"/>
    <w:link w:val="12"/>
    <w:semiHidden/>
    <w:qFormat/>
    <w:uiPriority w:val="99"/>
    <w:rPr>
      <w:rFonts w:ascii="Times New Roman" w:hAnsi="Times New Roman" w:eastAsia="黑体"/>
      <w:sz w:val="18"/>
      <w:szCs w:val="18"/>
    </w:rPr>
  </w:style>
  <w:style w:type="paragraph" w:customStyle="1" w:styleId="40">
    <w:name w:val="正文内容1"/>
    <w:basedOn w:val="29"/>
    <w:link w:val="41"/>
    <w:qFormat/>
    <w:uiPriority w:val="0"/>
    <w:rPr>
      <w:b/>
    </w:rPr>
  </w:style>
  <w:style w:type="character" w:customStyle="1" w:styleId="41">
    <w:name w:val="正文内容1 字符"/>
    <w:basedOn w:val="31"/>
    <w:link w:val="40"/>
    <w:qFormat/>
    <w:uiPriority w:val="0"/>
    <w:rPr>
      <w:rFonts w:ascii="Times New Roman" w:hAnsi="Times New Roman" w:eastAsia="仿宋_GB2312"/>
      <w:b/>
      <w:snapToGrid w:val="0"/>
      <w:kern w:val="0"/>
      <w:sz w:val="30"/>
    </w:rPr>
  </w:style>
  <w:style w:type="paragraph" w:customStyle="1" w:styleId="42">
    <w:name w:val="表格内容"/>
    <w:basedOn w:val="40"/>
    <w:next w:val="29"/>
    <w:link w:val="43"/>
    <w:qFormat/>
    <w:uiPriority w:val="0"/>
    <w:pPr>
      <w:spacing w:line="240" w:lineRule="auto"/>
      <w:ind w:firstLine="0" w:firstLineChars="0"/>
      <w:jc w:val="center"/>
    </w:pPr>
    <w:rPr>
      <w:b w:val="0"/>
      <w:sz w:val="21"/>
    </w:rPr>
  </w:style>
  <w:style w:type="character" w:customStyle="1" w:styleId="43">
    <w:name w:val="表格内容 字符"/>
    <w:basedOn w:val="41"/>
    <w:link w:val="42"/>
    <w:qFormat/>
    <w:uiPriority w:val="0"/>
    <w:rPr>
      <w:rFonts w:ascii="Times New Roman" w:hAnsi="Times New Roman" w:eastAsia="仿宋_GB2312"/>
      <w:b w:val="0"/>
      <w:snapToGrid w:val="0"/>
      <w:kern w:val="0"/>
      <w:sz w:val="30"/>
    </w:rPr>
  </w:style>
  <w:style w:type="paragraph" w:customStyle="1" w:styleId="44">
    <w:name w:val="Char"/>
    <w:basedOn w:val="1"/>
    <w:qFormat/>
    <w:uiPriority w:val="0"/>
    <w:pPr>
      <w:widowControl w:val="0"/>
      <w:jc w:val="both"/>
    </w:pPr>
    <w:rPr>
      <w:rFonts w:eastAsia="宋体" w:cs="Times New Roman"/>
      <w:sz w:val="21"/>
      <w:szCs w:val="24"/>
    </w:rPr>
  </w:style>
  <w:style w:type="character" w:customStyle="1" w:styleId="45">
    <w:name w:val="标题 4 字符"/>
    <w:basedOn w:val="23"/>
    <w:link w:val="6"/>
    <w:qFormat/>
    <w:uiPriority w:val="9"/>
    <w:rPr>
      <w:rFonts w:eastAsia="仿宋_GB2312" w:asciiTheme="majorHAnsi" w:hAnsiTheme="majorHAnsi" w:cstheme="majorBidi"/>
      <w:b/>
      <w:snapToGrid w:val="0"/>
      <w:sz w:val="30"/>
      <w:szCs w:val="28"/>
    </w:rPr>
  </w:style>
  <w:style w:type="paragraph" w:customStyle="1" w:styleId="46">
    <w:name w:val="TOC 标题1"/>
    <w:basedOn w:val="3"/>
    <w:next w:val="1"/>
    <w:unhideWhenUsed/>
    <w:qFormat/>
    <w:uiPriority w:val="39"/>
    <w:pPr>
      <w:adjustRightInd/>
      <w:snapToGrid/>
      <w:spacing w:before="240" w:line="259" w:lineRule="auto"/>
      <w:jc w:val="left"/>
      <w:outlineLvl w:val="9"/>
    </w:pPr>
    <w:rPr>
      <w:rFonts w:asciiTheme="majorHAnsi" w:hAnsiTheme="majorHAnsi" w:eastAsiaTheme="majorEastAsia" w:cstheme="majorBidi"/>
      <w:bCs w:val="0"/>
      <w:snapToGrid/>
      <w:color w:val="2E75B6" w:themeColor="accent1" w:themeShade="BF"/>
      <w:sz w:val="32"/>
      <w:szCs w:val="32"/>
    </w:rPr>
  </w:style>
  <w:style w:type="character" w:customStyle="1" w:styleId="47">
    <w:name w:val="标题 5 字符"/>
    <w:basedOn w:val="23"/>
    <w:link w:val="7"/>
    <w:semiHidden/>
    <w:qFormat/>
    <w:uiPriority w:val="9"/>
    <w:rPr>
      <w:rFonts w:ascii="Times New Roman" w:hAnsi="Times New Roman" w:eastAsia="黑体"/>
      <w:b/>
      <w:bCs/>
      <w:sz w:val="28"/>
      <w:szCs w:val="28"/>
    </w:rPr>
  </w:style>
  <w:style w:type="paragraph" w:customStyle="1" w:styleId="48">
    <w:name w:val="页脚1"/>
    <w:basedOn w:val="13"/>
    <w:link w:val="49"/>
    <w:qFormat/>
    <w:uiPriority w:val="0"/>
    <w:pPr>
      <w:adjustRightInd w:val="0"/>
      <w:snapToGrid w:val="0"/>
      <w:spacing w:line="360" w:lineRule="auto"/>
      <w:jc w:val="center"/>
    </w:pPr>
    <w:rPr>
      <w:rFonts w:eastAsia="宋体"/>
      <w:sz w:val="24"/>
      <w:szCs w:val="28"/>
    </w:rPr>
  </w:style>
  <w:style w:type="character" w:customStyle="1" w:styleId="49">
    <w:name w:val="页脚1 字符"/>
    <w:basedOn w:val="26"/>
    <w:link w:val="48"/>
    <w:qFormat/>
    <w:uiPriority w:val="0"/>
    <w:rPr>
      <w:rFonts w:ascii="Times New Roman" w:hAnsi="Times New Roman" w:eastAsia="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26018-6943-4746-8434-C0F2283624BA}">
  <ds:schemaRefs/>
</ds:datastoreItem>
</file>

<file path=docProps/app.xml><?xml version="1.0" encoding="utf-8"?>
<Properties xmlns="http://schemas.openxmlformats.org/officeDocument/2006/extended-properties" xmlns:vt="http://schemas.openxmlformats.org/officeDocument/2006/docPropsVTypes">
  <Template>Normal</Template>
  <Pages>29</Pages>
  <Words>11844</Words>
  <Characters>12083</Characters>
  <Lines>94</Lines>
  <Paragraphs>26</Paragraphs>
  <TotalTime>3</TotalTime>
  <ScaleCrop>false</ScaleCrop>
  <LinksUpToDate>false</LinksUpToDate>
  <CharactersWithSpaces>12349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2020-11-23T01:53:00Z</dcterms:created>
  <dc:creator>KKY-XCF</dc:creator>
  <cp:lastModifiedBy>Administrator</cp:lastModifiedBy>
  <cp:lastPrinted>2021-06-05T03:19:00Z</cp:lastPrinted>
  <dcterms:modified xsi:type="dcterms:W3CDTF">2023-02-01T01:11:02Z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BE4C7BF3B0E84940A988C24784118CE8</vt:lpwstr>
  </property>
</Properties>
</file>