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29" w:name="_GoBack"/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  <w:t>农村饮水安全政策</w:t>
      </w:r>
    </w:p>
    <w:bookmarkEnd w:id="2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bookmarkStart w:id="0" w:name="_Toc19406"/>
      <w:bookmarkStart w:id="1" w:name="_Toc13163"/>
      <w:bookmarkStart w:id="2" w:name="_Toc1298"/>
      <w:bookmarkStart w:id="3" w:name="_Toc19977"/>
      <w:bookmarkStart w:id="4" w:name="_Toc26287"/>
      <w:bookmarkStart w:id="5" w:name="_Toc16295"/>
      <w:bookmarkStart w:id="6" w:name="_Toc14958"/>
      <w:bookmarkStart w:id="7" w:name="_Toc6506"/>
      <w:bookmarkStart w:id="8" w:name="_Toc13951"/>
      <w:bookmarkStart w:id="9" w:name="_Toc12781"/>
      <w:bookmarkStart w:id="10" w:name="_Toc5847"/>
      <w:bookmarkStart w:id="11" w:name="_Toc24451"/>
      <w:bookmarkStart w:id="12" w:name="_Toc10417"/>
      <w:bookmarkStart w:id="13" w:name="_Toc22047"/>
      <w:bookmarkStart w:id="14" w:name="_Toc27406"/>
      <w:bookmarkStart w:id="15" w:name="_Toc24561"/>
      <w:bookmarkStart w:id="16" w:name="_Toc27565"/>
      <w:bookmarkStart w:id="17" w:name="_Toc7041"/>
      <w:bookmarkStart w:id="18" w:name="_Toc15743"/>
      <w:bookmarkStart w:id="19" w:name="_Toc997"/>
      <w:bookmarkStart w:id="20" w:name="_Toc9493"/>
      <w:bookmarkStart w:id="21" w:name="_Toc15709"/>
      <w:bookmarkStart w:id="22" w:name="_Toc31096"/>
      <w:bookmarkStart w:id="23" w:name="_Toc14549"/>
      <w:bookmarkStart w:id="24" w:name="_Toc27303"/>
      <w:bookmarkStart w:id="25" w:name="_Toc21232"/>
      <w:bookmarkStart w:id="26" w:name="_Toc18461"/>
      <w:bookmarkStart w:id="27" w:name="_Toc17818"/>
      <w:bookmarkStart w:id="28" w:name="_Toc19461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</w:rPr>
        <w:t>农村饮水安全评价标准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农村饮水安全评价包括水量、水质、用水方便程度、供水保证率四项评价指标。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一是水量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每人每天应不低于 20升，包括居民生活饮用水量、散养畜禽用水量等，不包括规模化养殖畜禽用水量、企业用水量和灌溉用水量。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二是水质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对万人工程的用水户，水质检测结果符合《生活饮用水卫生标准（GB5749-2006）的规定为达标；万人以下集中工程符合《生活饮用水卫生标准》（GB5749-2006）中的农村供水水质宽限规定为达标；无水厂供水工程和分散供水工程的用水户，可采用“望、闻、问、尝”等简便方法进行水质现场评价，饮用水中无肉眼可见杂质、无异色异味、用水户长期饮用无不良反应可评价为基本符合要求。有煮沸饮用习惯的用水户可不评价微生物指标，对水烧开有水垢，但总硬度在标准规定限值范围以内，不影响人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三是用水方便程度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农村集中供水工程供水到户（含小区或院子），或者用水户到集中供水点等取水，只要人力取水往返时间不超过 20 分钟，或取水水平距离不超过 800 米、垂直距离不超过 80 米，都可视为用水方便程度达标。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四是供水保证率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一年中实际供水量符合标准的天数与一年总天数的比值不低于 90%。如果水量、水质、用水方便程度、供水保证率四项评价指标全部基本达标或达标，就可以评价为饮水安全。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73A"/>
    <w:rsid w:val="30E3373A"/>
    <w:rsid w:val="78E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Administrator</dc:creator>
  <cp:lastModifiedBy>董建强</cp:lastModifiedBy>
  <dcterms:modified xsi:type="dcterms:W3CDTF">2022-09-23T02:49:27Z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FD5A075079ED42F99C776F2C117C1D1B</vt:lpwstr>
  </property>
</Properties>
</file>