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883" w:firstLineChars="200"/>
        <w:rPr>
          <w:rFonts w:ascii="Times New Roman" w:hAnsi="Times New Roman" w:cs="Times New Roman"/>
          <w:b/>
          <w:bCs/>
          <w:sz w:val="44"/>
          <w:szCs w:val="44"/>
        </w:rPr>
      </w:pPr>
    </w:p>
    <w:p>
      <w:pPr>
        <w:spacing w:line="570" w:lineRule="exact"/>
        <w:ind w:firstLine="883" w:firstLineChars="200"/>
        <w:rPr>
          <w:rFonts w:ascii="Times New Roman" w:hAnsi="Times New Roman" w:cs="Times New Roman"/>
          <w:b/>
          <w:bCs/>
          <w:kern w:val="0"/>
          <w:sz w:val="44"/>
        </w:rPr>
      </w:pPr>
    </w:p>
    <w:p>
      <w:pPr>
        <w:spacing w:line="570" w:lineRule="exact"/>
        <w:ind w:firstLine="883" w:firstLineChars="200"/>
        <w:rPr>
          <w:rFonts w:ascii="Times New Roman" w:hAnsi="Times New Roman" w:cs="Times New Roman"/>
          <w:b/>
          <w:bCs/>
          <w:kern w:val="0"/>
          <w:sz w:val="44"/>
        </w:rPr>
      </w:pPr>
    </w:p>
    <w:p>
      <w:pPr>
        <w:spacing w:line="570" w:lineRule="exact"/>
        <w:ind w:firstLine="883" w:firstLineChars="200"/>
        <w:rPr>
          <w:rFonts w:ascii="Times New Roman" w:hAnsi="Times New Roman" w:cs="Times New Roman"/>
          <w:b/>
          <w:bCs/>
          <w:kern w:val="0"/>
          <w:sz w:val="44"/>
        </w:rPr>
      </w:pPr>
    </w:p>
    <w:p>
      <w:pPr>
        <w:pStyle w:val="2"/>
        <w:spacing w:line="570" w:lineRule="exact"/>
        <w:ind w:firstLine="883" w:firstLineChars="200"/>
        <w:rPr>
          <w:rFonts w:ascii="Times New Roman" w:hAnsi="Times New Roman" w:cs="Times New Roman"/>
          <w:b/>
          <w:bCs/>
          <w:kern w:val="0"/>
          <w:sz w:val="44"/>
        </w:rPr>
      </w:pPr>
    </w:p>
    <w:p>
      <w:pPr>
        <w:pStyle w:val="2"/>
        <w:spacing w:line="570" w:lineRule="exact"/>
        <w:ind w:firstLine="883" w:firstLineChars="200"/>
        <w:rPr>
          <w:rFonts w:ascii="Times New Roman" w:hAnsi="Times New Roman" w:cs="Times New Roman"/>
          <w:b/>
          <w:bCs/>
          <w:kern w:val="0"/>
          <w:sz w:val="44"/>
        </w:rPr>
      </w:pPr>
      <w:bookmarkStart w:id="0" w:name="_GoBack"/>
      <w:bookmarkEnd w:id="0"/>
    </w:p>
    <w:p>
      <w:pPr>
        <w:adjustRightInd w:val="0"/>
        <w:snapToGrid w:val="0"/>
        <w:spacing w:line="570" w:lineRule="exact"/>
        <w:ind w:firstLine="640" w:firstLineChars="200"/>
        <w:rPr>
          <w:rFonts w:ascii="仿宋_GB2312" w:eastAsia="仿宋_GB2312"/>
          <w:sz w:val="32"/>
        </w:rPr>
      </w:pPr>
    </w:p>
    <w:p>
      <w:pPr>
        <w:adjustRightInd w:val="0"/>
        <w:snapToGrid w:val="0"/>
        <w:spacing w:line="570" w:lineRule="exact"/>
        <w:ind w:firstLine="2880" w:firstLineChars="900"/>
        <w:rPr>
          <w:rFonts w:ascii="仿宋_GB2312" w:hAnsi="宋体" w:eastAsia="仿宋_GB2312"/>
          <w:sz w:val="32"/>
          <w:szCs w:val="32"/>
        </w:rPr>
      </w:pPr>
      <w:r>
        <w:rPr>
          <w:rFonts w:hint="eastAsia" w:ascii="仿宋_GB2312" w:eastAsia="仿宋_GB2312"/>
          <w:sz w:val="32"/>
        </w:rPr>
        <w:t>会环发</w:t>
      </w:r>
      <w:r>
        <w:rPr>
          <w:rFonts w:hint="eastAsia" w:ascii="仿宋_GB2312" w:hAnsi="宋体" w:eastAsia="仿宋_GB2312"/>
          <w:sz w:val="32"/>
          <w:szCs w:val="32"/>
        </w:rPr>
        <w:t>〔2022〕</w:t>
      </w:r>
      <w:r>
        <w:rPr>
          <w:rFonts w:hint="eastAsia" w:ascii="仿宋_GB2312" w:hAnsi="宋体" w:eastAsia="仿宋_GB2312"/>
          <w:sz w:val="32"/>
          <w:szCs w:val="32"/>
          <w:lang w:val="en-US" w:eastAsia="zh-CN"/>
        </w:rPr>
        <w:t>75</w:t>
      </w:r>
      <w:r>
        <w:rPr>
          <w:rFonts w:hint="eastAsia" w:ascii="仿宋_GB2312" w:hAnsi="宋体" w:eastAsia="仿宋_GB2312"/>
          <w:sz w:val="32"/>
          <w:szCs w:val="32"/>
        </w:rPr>
        <w:t>号</w:t>
      </w:r>
    </w:p>
    <w:p>
      <w:pPr>
        <w:spacing w:line="570" w:lineRule="exact"/>
        <w:ind w:firstLine="883" w:firstLineChars="200"/>
        <w:jc w:val="center"/>
        <w:rPr>
          <w:rFonts w:ascii="Times New Roman" w:hAnsi="Times New Roman" w:cs="Times New Roman"/>
          <w:b/>
          <w:bCs/>
          <w:kern w:val="0"/>
          <w:sz w:val="44"/>
        </w:rPr>
      </w:pPr>
    </w:p>
    <w:p>
      <w:pPr>
        <w:spacing w:line="570" w:lineRule="exact"/>
        <w:jc w:val="center"/>
        <w:rPr>
          <w:rFonts w:ascii="方正小标宋简体" w:hAnsi="方正小标宋简体" w:eastAsia="方正小标宋简体" w:cs="方正小标宋简体"/>
          <w:kern w:val="0"/>
          <w:sz w:val="44"/>
        </w:rPr>
      </w:pPr>
      <w:r>
        <w:rPr>
          <w:rFonts w:hint="eastAsia" w:ascii="方正小标宋简体" w:hAnsi="方正小标宋简体" w:eastAsia="方正小标宋简体" w:cs="方正小标宋简体"/>
          <w:kern w:val="0"/>
          <w:sz w:val="44"/>
        </w:rPr>
        <w:t>白银市生态环境局会宁分局</w:t>
      </w:r>
    </w:p>
    <w:p>
      <w:pPr>
        <w:spacing w:line="570" w:lineRule="exact"/>
        <w:jc w:val="center"/>
        <w:rPr>
          <w:rFonts w:hint="eastAsia" w:ascii="方正小标宋简体" w:hAnsi="方正小标宋简体" w:eastAsia="方正小标宋简体" w:cs="方正小标宋简体"/>
          <w:kern w:val="0"/>
          <w:sz w:val="44"/>
        </w:rPr>
      </w:pPr>
      <w:r>
        <w:rPr>
          <w:rFonts w:hint="eastAsia" w:ascii="方正小标宋简体" w:hAnsi="方正小标宋简体" w:eastAsia="方正小标宋简体" w:cs="方正小标宋简体"/>
          <w:kern w:val="0"/>
          <w:sz w:val="44"/>
        </w:rPr>
        <w:t>关于</w:t>
      </w:r>
      <w:r>
        <w:rPr>
          <w:rFonts w:hint="eastAsia" w:ascii="方正小标宋简体" w:hAnsi="方正小标宋简体" w:eastAsia="方正小标宋简体" w:cs="方正小标宋简体"/>
          <w:kern w:val="0"/>
          <w:sz w:val="44"/>
          <w:lang w:val="en-US" w:eastAsia="zh-CN"/>
        </w:rPr>
        <w:t>会宁东方希望畜牧有限公司老鸦场生猪养殖循环产业基地项目</w:t>
      </w:r>
      <w:r>
        <w:rPr>
          <w:rFonts w:hint="eastAsia" w:ascii="方正小标宋简体" w:hAnsi="方正小标宋简体" w:eastAsia="方正小标宋简体" w:cs="方正小标宋简体"/>
          <w:kern w:val="0"/>
          <w:sz w:val="44"/>
        </w:rPr>
        <w:t>环境影响</w:t>
      </w:r>
    </w:p>
    <w:p>
      <w:pPr>
        <w:spacing w:line="570" w:lineRule="exact"/>
        <w:jc w:val="center"/>
        <w:rPr>
          <w:rFonts w:ascii="方正小标宋简体" w:hAnsi="方正小标宋简体" w:eastAsia="方正小标宋简体" w:cs="方正小标宋简体"/>
          <w:kern w:val="0"/>
          <w:sz w:val="44"/>
        </w:rPr>
      </w:pPr>
      <w:r>
        <w:rPr>
          <w:rFonts w:hint="eastAsia" w:ascii="方正小标宋简体" w:hAnsi="方正小标宋简体" w:eastAsia="方正小标宋简体" w:cs="方正小标宋简体"/>
          <w:kern w:val="0"/>
          <w:sz w:val="44"/>
        </w:rPr>
        <w:t>报告</w:t>
      </w:r>
      <w:r>
        <w:rPr>
          <w:rFonts w:hint="eastAsia" w:ascii="方正小标宋简体" w:hAnsi="方正小标宋简体" w:eastAsia="方正小标宋简体" w:cs="方正小标宋简体"/>
          <w:kern w:val="0"/>
          <w:sz w:val="44"/>
          <w:lang w:val="en-US" w:eastAsia="zh-CN"/>
        </w:rPr>
        <w:t>书</w:t>
      </w:r>
      <w:r>
        <w:rPr>
          <w:rFonts w:hint="eastAsia" w:ascii="方正小标宋简体" w:hAnsi="方正小标宋简体" w:eastAsia="方正小标宋简体" w:cs="方正小标宋简体"/>
          <w:kern w:val="0"/>
          <w:sz w:val="44"/>
        </w:rPr>
        <w:t>的批复</w:t>
      </w:r>
    </w:p>
    <w:p>
      <w:pPr>
        <w:spacing w:line="570" w:lineRule="exact"/>
        <w:ind w:firstLine="640" w:firstLineChars="200"/>
        <w:jc w:val="center"/>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会宁东方希望畜牧有限公司</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你单位关于《</w:t>
      </w:r>
      <w:r>
        <w:rPr>
          <w:rFonts w:hint="eastAsia" w:ascii="仿宋_GB2312" w:hAnsi="仿宋_GB2312" w:eastAsia="仿宋_GB2312" w:cs="仿宋_GB2312"/>
          <w:sz w:val="32"/>
          <w:szCs w:val="32"/>
          <w:lang w:val="en-US" w:eastAsia="zh-CN"/>
        </w:rPr>
        <w:t>会宁东方希望畜牧有限公司老鸦场生猪养殖循环产业基地项目</w:t>
      </w:r>
      <w:r>
        <w:rPr>
          <w:rFonts w:hint="eastAsia" w:ascii="仿宋_GB2312" w:hAnsi="仿宋_GB2312" w:eastAsia="仿宋_GB2312" w:cs="仿宋_GB2312"/>
          <w:sz w:val="32"/>
          <w:szCs w:val="32"/>
        </w:rPr>
        <w:t>环境影响报告</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rPr>
        <w:t>》(下称“报告</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审批告知承诺制</w:t>
      </w:r>
      <w:r>
        <w:rPr>
          <w:rFonts w:hint="eastAsia" w:ascii="仿宋_GB2312" w:hAnsi="仿宋_GB2312" w:eastAsia="仿宋_GB2312" w:cs="仿宋_GB2312"/>
          <w:sz w:val="32"/>
          <w:szCs w:val="32"/>
        </w:rPr>
        <w:t>申请收悉。</w:t>
      </w:r>
      <w:r>
        <w:rPr>
          <w:rFonts w:hint="eastAsia" w:ascii="仿宋_GB2312" w:hAnsi="仿宋_GB2312" w:eastAsia="仿宋_GB2312" w:cs="仿宋_GB2312"/>
          <w:sz w:val="32"/>
          <w:szCs w:val="32"/>
          <w:lang w:val="en-US" w:eastAsia="zh-CN"/>
        </w:rPr>
        <w:t>根据甘肃信佳环保工程有限公司编制的环境影响报告书对该项目开展环境影响评价的结论，</w:t>
      </w:r>
      <w:r>
        <w:rPr>
          <w:rFonts w:hint="eastAsia" w:ascii="仿宋_GB2312" w:hAnsi="仿宋_GB2312" w:eastAsia="仿宋_GB2312" w:cs="仿宋_GB2312"/>
          <w:sz w:val="32"/>
          <w:szCs w:val="32"/>
        </w:rPr>
        <w:t>在全面落实报告</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rPr>
        <w:t>提出的各项防治生态破坏和环境污染措施的</w:t>
      </w:r>
      <w:r>
        <w:rPr>
          <w:rFonts w:hint="eastAsia" w:ascii="仿宋_GB2312" w:hAnsi="仿宋_GB2312" w:eastAsia="仿宋_GB2312" w:cs="仿宋_GB2312"/>
          <w:sz w:val="32"/>
          <w:szCs w:val="32"/>
          <w:lang w:val="en-US" w:eastAsia="zh-CN"/>
        </w:rPr>
        <w:t>前提下，工程建设对环境的不利影响能够得到缓解和控制。</w:t>
      </w:r>
      <w:r>
        <w:rPr>
          <w:rFonts w:hint="eastAsia" w:ascii="仿宋_GB2312" w:hAnsi="仿宋_GB2312" w:eastAsia="仿宋_GB2312" w:cs="仿宋_GB2312"/>
          <w:sz w:val="32"/>
          <w:szCs w:val="32"/>
        </w:rPr>
        <w:t>我局同意</w:t>
      </w:r>
      <w:r>
        <w:rPr>
          <w:rFonts w:hint="eastAsia" w:ascii="仿宋_GB2312" w:hAnsi="仿宋_GB2312" w:eastAsia="仿宋_GB2312" w:cs="仿宋_GB2312"/>
          <w:sz w:val="32"/>
          <w:szCs w:val="32"/>
          <w:lang w:val="en-US" w:eastAsia="zh-CN"/>
        </w:rPr>
        <w:t>该项目环境影响报告书中</w:t>
      </w:r>
      <w:r>
        <w:rPr>
          <w:rFonts w:hint="eastAsia" w:ascii="仿宋_GB2312" w:hAnsi="仿宋_GB2312" w:eastAsia="仿宋_GB2312" w:cs="仿宋_GB2312"/>
          <w:sz w:val="32"/>
          <w:szCs w:val="32"/>
        </w:rPr>
        <w:t>所列建设项目的性质、规模、地点</w:t>
      </w:r>
      <w:r>
        <w:rPr>
          <w:rFonts w:hint="eastAsia" w:ascii="仿宋_GB2312" w:hAnsi="仿宋_GB2312" w:eastAsia="仿宋_GB2312" w:cs="仿宋_GB2312"/>
          <w:sz w:val="32"/>
          <w:szCs w:val="32"/>
          <w:lang w:val="en-US" w:eastAsia="zh-CN"/>
        </w:rPr>
        <w:t>以及拟采取的生态环境保护措施</w:t>
      </w:r>
      <w:r>
        <w:rPr>
          <w:rFonts w:hint="eastAsia" w:ascii="仿宋_GB2312" w:hAnsi="仿宋_GB2312" w:eastAsia="仿宋_GB2312" w:cs="仿宋_GB2312"/>
          <w:sz w:val="32"/>
          <w:szCs w:val="32"/>
        </w:rPr>
        <w:t>。</w:t>
      </w:r>
    </w:p>
    <w:p>
      <w:pPr>
        <w:widowControl/>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你单位应当严格落实报告</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rPr>
        <w:t>提出的防治污染和防止生态破坏的措施，严格执行配套建设的环保设施与主体工程同时设计、同时施工、同时投产的环保“三同时”制度。</w:t>
      </w:r>
      <w:r>
        <w:rPr>
          <w:rFonts w:hint="eastAsia" w:ascii="仿宋_GB2312" w:hAnsi="仿宋_GB2312" w:eastAsia="仿宋_GB2312" w:cs="仿宋_GB2312"/>
          <w:sz w:val="32"/>
          <w:szCs w:val="32"/>
          <w:lang w:val="en-US" w:eastAsia="zh-CN"/>
        </w:rPr>
        <w:t>依照《固定污染源排污许可分类管理名录》需办理排污许可证的，及时办理排污许可证。</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项目竣工后，</w:t>
      </w:r>
      <w:r>
        <w:rPr>
          <w:rFonts w:hint="eastAsia" w:ascii="仿宋_GB2312" w:hAnsi="仿宋_GB2312" w:eastAsia="仿宋_GB2312" w:cs="仿宋_GB2312"/>
          <w:kern w:val="0"/>
          <w:sz w:val="32"/>
          <w:szCs w:val="32"/>
          <w:lang w:val="en-US" w:eastAsia="zh-CN"/>
        </w:rPr>
        <w:t>应按规定开展环境保护验收。验收合格后，项目方可正式投入生产或者使用。</w:t>
      </w:r>
    </w:p>
    <w:p>
      <w:pPr>
        <w:snapToGrid w:val="0"/>
        <w:spacing w:line="580" w:lineRule="exact"/>
        <w:ind w:firstLine="640" w:firstLineChars="200"/>
        <w:rPr>
          <w:rFonts w:ascii="仿宋_GB2312" w:hAnsi="仿宋_GB2312" w:eastAsia="仿宋_GB2312" w:cs="仿宋_GB2312"/>
          <w:sz w:val="32"/>
          <w:szCs w:val="32"/>
        </w:rPr>
      </w:pPr>
    </w:p>
    <w:p>
      <w:pPr>
        <w:snapToGrid w:val="0"/>
        <w:spacing w:line="580" w:lineRule="exact"/>
        <w:ind w:firstLine="3520" w:firstLineChars="1100"/>
        <w:rPr>
          <w:rFonts w:ascii="仿宋_GB2312" w:hAnsi="仿宋_GB2312" w:eastAsia="仿宋_GB2312" w:cs="仿宋_GB2312"/>
          <w:sz w:val="32"/>
          <w:szCs w:val="32"/>
        </w:rPr>
      </w:pPr>
    </w:p>
    <w:p>
      <w:pPr>
        <w:pStyle w:val="2"/>
      </w:pPr>
    </w:p>
    <w:p>
      <w:pPr>
        <w:snapToGrid w:val="0"/>
        <w:spacing w:line="580" w:lineRule="exact"/>
        <w:ind w:firstLine="3520" w:firstLineChars="1100"/>
        <w:rPr>
          <w:rFonts w:hint="eastAsia" w:ascii="仿宋_GB2312" w:hAnsi="仿宋_GB2312" w:eastAsia="仿宋_GB2312" w:cs="仿宋_GB2312"/>
          <w:sz w:val="32"/>
          <w:szCs w:val="32"/>
        </w:rPr>
      </w:pPr>
    </w:p>
    <w:p>
      <w:pPr>
        <w:snapToGrid w:val="0"/>
        <w:spacing w:line="58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白银市生态环境局会宁分局</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pStyle w:val="2"/>
        <w:overflowPunct w:val="0"/>
        <w:autoSpaceDE w:val="0"/>
        <w:autoSpaceDN w:val="0"/>
        <w:adjustRightInd w:val="0"/>
        <w:snapToGrid w:val="0"/>
        <w:spacing w:line="600" w:lineRule="exact"/>
        <w:rPr>
          <w:rFonts w:ascii="Times New Roman" w:hAnsi="Times New Roman" w:eastAsia="仿宋" w:cs="Times New Roman"/>
          <w:sz w:val="32"/>
          <w:szCs w:val="32"/>
        </w:rPr>
      </w:pPr>
    </w:p>
    <w:p>
      <w:pPr>
        <w:pStyle w:val="8"/>
        <w:overflowPunct w:val="0"/>
        <w:autoSpaceDE w:val="0"/>
        <w:autoSpaceDN w:val="0"/>
        <w:adjustRightInd w:val="0"/>
        <w:snapToGrid w:val="0"/>
        <w:spacing w:line="600" w:lineRule="exact"/>
        <w:ind w:left="0" w:leftChars="0" w:firstLine="280" w:firstLineChars="100"/>
        <w:rPr>
          <w:rFonts w:ascii="仿宋_GB2312" w:hAnsi="仿宋_GB2312" w:eastAsia="仿宋_GB2312" w:cs="仿宋_GB2312"/>
          <w:sz w:val="28"/>
          <w:szCs w:val="28"/>
        </w:rPr>
      </w:pPr>
    </w:p>
    <w:p>
      <w:pPr>
        <w:pStyle w:val="8"/>
        <w:overflowPunct w:val="0"/>
        <w:autoSpaceDE w:val="0"/>
        <w:autoSpaceDN w:val="0"/>
        <w:adjustRightInd w:val="0"/>
        <w:snapToGrid w:val="0"/>
        <w:spacing w:line="600" w:lineRule="exact"/>
        <w:ind w:left="0" w:leftChars="0" w:firstLine="280" w:firstLineChars="100"/>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Pr>
        <w:pStyle w:val="2"/>
        <w:rPr>
          <w:rFonts w:ascii="仿宋_GB2312" w:hAnsi="仿宋_GB2312" w:eastAsia="仿宋_GB2312" w:cs="仿宋_GB2312"/>
          <w:sz w:val="28"/>
          <w:szCs w:val="28"/>
        </w:rPr>
      </w:pPr>
    </w:p>
    <w:p/>
    <w:p>
      <w:pPr>
        <w:tabs>
          <w:tab w:val="left" w:pos="1929"/>
        </w:tabs>
        <w:ind w:firstLine="280" w:firstLineChars="100"/>
        <w:jc w:val="left"/>
      </w:pPr>
      <w:r>
        <w:rPr>
          <w:rFonts w:ascii="仿宋_GB2312" w:hAnsi="仿宋_GB2312" w:eastAsia="仿宋_GB2312" w:cs="仿宋_GB2312"/>
          <w:sz w:val="28"/>
          <w:szCs w:val="28"/>
        </w:rPr>
        <w:pict>
          <v:line id="Line 11" o:spid="_x0000_s1027" o:spt="20" style="position:absolute;left:0pt;margin-left:2.9pt;margin-top:0.3pt;height:0pt;width:441pt;z-index:251661312;mso-width-relative:page;mso-height-relative:page;" coordsize="21600,21600">
            <v:path arrowok="t"/>
            <v:fill focussize="0,0"/>
            <v:stroke weight="1pt"/>
            <v:imagedata o:title=""/>
            <o:lock v:ext="edit"/>
          </v:line>
        </w:pict>
      </w:r>
      <w:r>
        <w:rPr>
          <w:rFonts w:ascii="仿宋_GB2312" w:hAnsi="仿宋_GB2312" w:eastAsia="仿宋_GB2312" w:cs="仿宋_GB2312"/>
          <w:sz w:val="28"/>
          <w:szCs w:val="28"/>
        </w:rPr>
        <w:pict>
          <v:line id="Line 10" o:spid="_x0000_s1026" o:spt="20" style="position:absolute;left:0pt;margin-left:0.85pt;margin-top:29.55pt;height:0pt;width:441pt;z-index:251660288;mso-width-relative:page;mso-height-relative:page;" coordsize="21600,21600">
            <v:path arrowok="t"/>
            <v:fill focussize="0,0"/>
            <v:stroke weight="1.25pt"/>
            <v:imagedata o:title=""/>
            <o:lock v:ext="edit"/>
          </v:line>
        </w:pict>
      </w:r>
      <w:r>
        <w:rPr>
          <w:rFonts w:hint="eastAsia" w:ascii="仿宋_GB2312" w:hAnsi="仿宋_GB2312" w:eastAsia="仿宋_GB2312" w:cs="仿宋_GB2312"/>
          <w:sz w:val="28"/>
          <w:szCs w:val="28"/>
        </w:rPr>
        <w:t>白银市生态环境局会宁分局               2022年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日印发</w:t>
      </w:r>
    </w:p>
    <w:sectPr>
      <w:footerReference r:id="rId3" w:type="default"/>
      <w:pgSz w:w="11906" w:h="16838"/>
      <w:pgMar w:top="2098" w:right="1474" w:bottom="1984" w:left="158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10.4pt;height:31.9pt;width:41.2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pPr>
                  <w:pStyle w:val="10"/>
                  <w:rPr>
                    <w:rFonts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I2ZGZmMjFhMTEwNGE1ZGQ5YzQxNmJlMDFmYWRlNWMifQ=="/>
  </w:docVars>
  <w:rsids>
    <w:rsidRoot w:val="0CD823DC"/>
    <w:rsid w:val="003A2FFB"/>
    <w:rsid w:val="004358A8"/>
    <w:rsid w:val="00575C11"/>
    <w:rsid w:val="009F04B6"/>
    <w:rsid w:val="00A7500A"/>
    <w:rsid w:val="00AA42AD"/>
    <w:rsid w:val="00B37847"/>
    <w:rsid w:val="00DA3EE0"/>
    <w:rsid w:val="00EE551E"/>
    <w:rsid w:val="00FD6B86"/>
    <w:rsid w:val="01E03912"/>
    <w:rsid w:val="05454665"/>
    <w:rsid w:val="05890138"/>
    <w:rsid w:val="079A40A6"/>
    <w:rsid w:val="09603099"/>
    <w:rsid w:val="0CD823DC"/>
    <w:rsid w:val="0DCE79DC"/>
    <w:rsid w:val="0FD11BF6"/>
    <w:rsid w:val="0FFA3120"/>
    <w:rsid w:val="126870AF"/>
    <w:rsid w:val="128D44A7"/>
    <w:rsid w:val="1291034D"/>
    <w:rsid w:val="13D66DB4"/>
    <w:rsid w:val="143F17D4"/>
    <w:rsid w:val="174C0438"/>
    <w:rsid w:val="185F2F95"/>
    <w:rsid w:val="193C21D1"/>
    <w:rsid w:val="1BA02549"/>
    <w:rsid w:val="1CFD6D44"/>
    <w:rsid w:val="1D1C06DD"/>
    <w:rsid w:val="1D877349"/>
    <w:rsid w:val="1E2A21C2"/>
    <w:rsid w:val="208A426C"/>
    <w:rsid w:val="23624B81"/>
    <w:rsid w:val="24243F37"/>
    <w:rsid w:val="258C4867"/>
    <w:rsid w:val="27F969D1"/>
    <w:rsid w:val="281A005D"/>
    <w:rsid w:val="3000532F"/>
    <w:rsid w:val="303A1C43"/>
    <w:rsid w:val="346219CE"/>
    <w:rsid w:val="3B5A2D8C"/>
    <w:rsid w:val="3BBA3999"/>
    <w:rsid w:val="3EB53C0A"/>
    <w:rsid w:val="437C3AAE"/>
    <w:rsid w:val="44376F1E"/>
    <w:rsid w:val="46DB497A"/>
    <w:rsid w:val="48864600"/>
    <w:rsid w:val="48E857AF"/>
    <w:rsid w:val="490B2335"/>
    <w:rsid w:val="4A727855"/>
    <w:rsid w:val="4ACE6EE5"/>
    <w:rsid w:val="4C546A23"/>
    <w:rsid w:val="4E301795"/>
    <w:rsid w:val="4E546359"/>
    <w:rsid w:val="4EC93573"/>
    <w:rsid w:val="4FEF7583"/>
    <w:rsid w:val="50CC78F4"/>
    <w:rsid w:val="54444C6A"/>
    <w:rsid w:val="56244D21"/>
    <w:rsid w:val="564C4712"/>
    <w:rsid w:val="598454F3"/>
    <w:rsid w:val="5B322ED8"/>
    <w:rsid w:val="62270A5C"/>
    <w:rsid w:val="62322A84"/>
    <w:rsid w:val="669C6445"/>
    <w:rsid w:val="69945BF1"/>
    <w:rsid w:val="6B5904C8"/>
    <w:rsid w:val="6D536A7D"/>
    <w:rsid w:val="6F7B5BED"/>
    <w:rsid w:val="71320D3A"/>
    <w:rsid w:val="721B45AB"/>
    <w:rsid w:val="723F10C8"/>
    <w:rsid w:val="754571C2"/>
    <w:rsid w:val="77DB7562"/>
    <w:rsid w:val="78ED792F"/>
    <w:rsid w:val="7AB657F5"/>
    <w:rsid w:val="7AEB7CEC"/>
    <w:rsid w:val="7C9E7036"/>
    <w:rsid w:val="7D3138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tabs>
        <w:tab w:val="right" w:leader="dot" w:pos="8890"/>
      </w:tabs>
    </w:pPr>
    <w:rPr>
      <w:b w:val="0"/>
    </w:rPr>
  </w:style>
  <w:style w:type="paragraph" w:styleId="3">
    <w:name w:val="toc 1"/>
    <w:basedOn w:val="1"/>
    <w:next w:val="1"/>
    <w:qFormat/>
    <w:uiPriority w:val="39"/>
    <w:pPr>
      <w:tabs>
        <w:tab w:val="right" w:leader="dot" w:pos="8890"/>
      </w:tabs>
    </w:pPr>
    <w:rPr>
      <w:b/>
    </w:rPr>
  </w:style>
  <w:style w:type="paragraph" w:styleId="5">
    <w:name w:val="Body Text Indent"/>
    <w:basedOn w:val="1"/>
    <w:next w:val="1"/>
    <w:qFormat/>
    <w:uiPriority w:val="0"/>
    <w:pPr>
      <w:ind w:firstLine="538" w:firstLineChars="192"/>
    </w:pPr>
    <w:rPr>
      <w:rFonts w:hint="eastAsia"/>
      <w:sz w:val="28"/>
    </w:rPr>
  </w:style>
  <w:style w:type="paragraph" w:styleId="6">
    <w:name w:val="Plain Text"/>
    <w:basedOn w:val="1"/>
    <w:next w:val="7"/>
    <w:unhideWhenUsed/>
    <w:qFormat/>
    <w:uiPriority w:val="99"/>
    <w:rPr>
      <w:rFonts w:ascii="宋体" w:hAnsi="Courier New" w:cs="Courier New"/>
      <w:szCs w:val="21"/>
    </w:rPr>
  </w:style>
  <w:style w:type="paragraph" w:customStyle="1" w:styleId="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8">
    <w:name w:val="Date"/>
    <w:basedOn w:val="1"/>
    <w:next w:val="1"/>
    <w:qFormat/>
    <w:uiPriority w:val="0"/>
    <w:pPr>
      <w:ind w:left="100" w:leftChars="2500"/>
    </w:pPr>
  </w:style>
  <w:style w:type="paragraph" w:styleId="9">
    <w:name w:val="Balloon Text"/>
    <w:basedOn w:val="1"/>
    <w:link w:val="18"/>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2"/>
    <w:basedOn w:val="5"/>
    <w:next w:val="1"/>
    <w:unhideWhenUsed/>
    <w:qFormat/>
    <w:uiPriority w:val="99"/>
    <w:pPr>
      <w:tabs>
        <w:tab w:val="left" w:pos="1890"/>
      </w:tabs>
      <w:spacing w:after="120"/>
      <w:ind w:left="420" w:leftChars="200" w:firstLine="420"/>
    </w:pPr>
    <w:rPr>
      <w:sz w:val="24"/>
      <w:szCs w:val="24"/>
    </w:rPr>
  </w:style>
  <w:style w:type="character" w:styleId="16">
    <w:name w:val="page number"/>
    <w:basedOn w:val="15"/>
    <w:qFormat/>
    <w:uiPriority w:val="0"/>
  </w:style>
  <w:style w:type="paragraph" w:customStyle="1" w:styleId="17">
    <w:name w:val="正文A"/>
    <w:qFormat/>
    <w:uiPriority w:val="0"/>
    <w:pPr>
      <w:tabs>
        <w:tab w:val="left" w:pos="0"/>
      </w:tabs>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8">
    <w:name w:val="批注框文本 Char"/>
    <w:basedOn w:val="15"/>
    <w:link w:val="9"/>
    <w:qFormat/>
    <w:uiPriority w:val="0"/>
    <w:rPr>
      <w:rFonts w:asciiTheme="minorHAnsi" w:hAnsiTheme="minorHAnsi" w:eastAsiaTheme="minorEastAsia" w:cstheme="minorBidi"/>
      <w:kern w:val="2"/>
      <w:sz w:val="18"/>
      <w:szCs w:val="18"/>
    </w:rPr>
  </w:style>
  <w:style w:type="character" w:customStyle="1" w:styleId="19">
    <w:name w:val="页眉 Char"/>
    <w:basedOn w:val="15"/>
    <w:link w:val="11"/>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463</Words>
  <Characters>475</Characters>
  <Lines>5</Lines>
  <Paragraphs>1</Paragraphs>
  <TotalTime>37</TotalTime>
  <ScaleCrop>false</ScaleCrop>
  <LinksUpToDate>false</LinksUpToDate>
  <CharactersWithSpaces>512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2019-12-30T06:12:00Z</dcterms:created>
  <dc:creator>Administrator</dc:creator>
  <cp:lastModifiedBy>Administrator</cp:lastModifiedBy>
  <cp:lastPrinted>2022-08-31T01:23:02Z</cp:lastPrinted>
  <dcterms:modified xsi:type="dcterms:W3CDTF">2022-08-31T01:26:07Z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0DC0019119254BA89E675A8A39B606EB</vt:lpwstr>
  </property>
</Properties>
</file>