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45"/>
      </w:tblGrid>
      <w:tr w:rsidR="00E76A49">
        <w:trPr>
          <w:trHeight w:val="390"/>
          <w:tblCellSpacing w:w="0" w:type="dxa"/>
        </w:trPr>
        <w:tc>
          <w:tcPr>
            <w:tcW w:w="0" w:type="auto"/>
            <w:shd w:val="clear" w:color="auto" w:fill="FFFFFF"/>
            <w:vAlign w:val="center"/>
          </w:tcPr>
          <w:p w:rsidR="00E76A49" w:rsidRDefault="006F1795">
            <w:pPr>
              <w:widowControl/>
              <w:spacing w:line="560" w:lineRule="atLeast"/>
              <w:jc w:val="center"/>
              <w:rPr>
                <w:rFonts w:ascii="宋体" w:eastAsia="宋体" w:hAnsi="宋体" w:cs="宋体"/>
                <w:b/>
                <w:color w:val="222222"/>
                <w:kern w:val="0"/>
                <w:sz w:val="28"/>
                <w:szCs w:val="28"/>
              </w:rPr>
            </w:pPr>
            <w:r>
              <w:rPr>
                <w:rFonts w:ascii="宋体" w:eastAsia="宋体" w:hAnsi="宋体" w:cs="宋体" w:hint="eastAsia"/>
                <w:b/>
                <w:color w:val="222222"/>
                <w:kern w:val="0"/>
                <w:sz w:val="28"/>
                <w:szCs w:val="28"/>
              </w:rPr>
              <w:t>白银市生态环境局会宁分局关于2022年7月11日拟作出的建设项目</w:t>
            </w:r>
          </w:p>
          <w:p w:rsidR="00E76A49" w:rsidRDefault="006F1795">
            <w:pPr>
              <w:widowControl/>
              <w:spacing w:line="560" w:lineRule="atLeast"/>
              <w:jc w:val="center"/>
              <w:rPr>
                <w:rFonts w:ascii="宋体" w:eastAsia="宋体" w:hAnsi="宋体" w:cs="宋体"/>
                <w:b/>
                <w:color w:val="222222"/>
                <w:sz w:val="28"/>
                <w:szCs w:val="28"/>
              </w:rPr>
            </w:pPr>
            <w:r>
              <w:rPr>
                <w:rFonts w:ascii="宋体" w:eastAsia="宋体" w:hAnsi="宋体" w:cs="宋体" w:hint="eastAsia"/>
                <w:b/>
                <w:color w:val="222222"/>
                <w:kern w:val="0"/>
                <w:sz w:val="28"/>
                <w:szCs w:val="28"/>
              </w:rPr>
              <w:t>环境影响评价文件审批意见的公示</w:t>
            </w:r>
          </w:p>
        </w:tc>
      </w:tr>
      <w:tr w:rsidR="00E76A49">
        <w:trPr>
          <w:trHeight w:val="9718"/>
          <w:tblCellSpacing w:w="0" w:type="dxa"/>
        </w:trPr>
        <w:tc>
          <w:tcPr>
            <w:tcW w:w="0" w:type="auto"/>
            <w:shd w:val="clear" w:color="auto" w:fill="FFFFFF"/>
            <w:vAlign w:val="center"/>
          </w:tcPr>
          <w:p w:rsidR="00E76A49" w:rsidRDefault="006F1795">
            <w:pPr>
              <w:pStyle w:val="a3"/>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根据建设项目环境影响评价审批程序的有关规定，经审查，我局拟对1个建设项目环境影响评价文件作出审批意见。为保证此次审查工作的严肃性和公正性，现将拟作出审批意见的环境影响评价文件基本情况予以公示，公示期为2022年7月11日-2022年7月</w:t>
            </w:r>
            <w:r w:rsidR="000A1A8F">
              <w:rPr>
                <w:rFonts w:ascii="微软雅黑" w:eastAsia="微软雅黑" w:hAnsi="微软雅黑" w:cs="微软雅黑" w:hint="eastAsia"/>
                <w:color w:val="5A5A5A"/>
              </w:rPr>
              <w:t>15</w:t>
            </w:r>
            <w:r>
              <w:rPr>
                <w:rFonts w:ascii="微软雅黑" w:eastAsia="微软雅黑" w:hAnsi="微软雅黑" w:cs="微软雅黑" w:hint="eastAsia"/>
                <w:color w:val="5A5A5A"/>
              </w:rPr>
              <w:t>日(5个工作日)。</w:t>
            </w:r>
          </w:p>
          <w:p w:rsidR="00E76A49" w:rsidRDefault="006F1795">
            <w:pPr>
              <w:pStyle w:val="a3"/>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听证权利告知：依据《中华人民共和国行政许可法》，自公示起五日内申请人、利害关系人可对以下拟作出的建设项目环境影响评价文件审批意见要求听证。</w:t>
            </w:r>
          </w:p>
          <w:p w:rsidR="00E76A49" w:rsidRDefault="006F1795">
            <w:pPr>
              <w:pStyle w:val="a3"/>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联系电话：0943-3221796    传 真：0943-3221796</w:t>
            </w:r>
          </w:p>
          <w:p w:rsidR="00E76A49" w:rsidRDefault="006F1795">
            <w:pPr>
              <w:pStyle w:val="a3"/>
              <w:widowControl/>
              <w:spacing w:line="450" w:lineRule="atLeast"/>
              <w:ind w:firstLine="420"/>
              <w:rPr>
                <w:rFonts w:ascii="微软雅黑" w:eastAsia="微软雅黑" w:hAnsi="微软雅黑" w:cs="微软雅黑"/>
                <w:color w:val="5A5A5A"/>
              </w:rPr>
            </w:pPr>
            <w:r>
              <w:rPr>
                <w:rFonts w:ascii="微软雅黑" w:eastAsia="微软雅黑" w:hAnsi="微软雅黑" w:cs="微软雅黑" w:hint="eastAsia"/>
                <w:color w:val="5A5A5A"/>
              </w:rPr>
              <w:t>通讯地址：会宁县现代路嘉禾楼20楼     邮 编：730900</w:t>
            </w:r>
          </w:p>
          <w:p w:rsidR="00E76A49" w:rsidRDefault="006F1795">
            <w:pPr>
              <w:pStyle w:val="a3"/>
              <w:widowControl/>
              <w:spacing w:line="450" w:lineRule="atLeast"/>
              <w:ind w:firstLine="420"/>
            </w:pPr>
            <w:r>
              <w:rPr>
                <w:rStyle w:val="a4"/>
                <w:rFonts w:ascii="微软雅黑" w:eastAsia="微软雅黑" w:hAnsi="微软雅黑" w:cs="微软雅黑" w:hint="eastAsia"/>
                <w:color w:val="5A5A5A"/>
              </w:rPr>
              <w:t>一、拟批准环境影响评价文件的建设项目</w:t>
            </w:r>
          </w:p>
          <w:tbl>
            <w:tblPr>
              <w:tblW w:w="0" w:type="auto"/>
              <w:jc w:val="center"/>
              <w:tblCellMar>
                <w:top w:w="15" w:type="dxa"/>
                <w:left w:w="15" w:type="dxa"/>
                <w:bottom w:w="15" w:type="dxa"/>
                <w:right w:w="15" w:type="dxa"/>
              </w:tblCellMar>
              <w:tblLook w:val="04A0"/>
            </w:tblPr>
            <w:tblGrid>
              <w:gridCol w:w="529"/>
              <w:gridCol w:w="645"/>
              <w:gridCol w:w="1158"/>
              <w:gridCol w:w="427"/>
              <w:gridCol w:w="570"/>
              <w:gridCol w:w="1878"/>
              <w:gridCol w:w="2931"/>
            </w:tblGrid>
            <w:tr w:rsidR="00E76A49" w:rsidTr="00593A2B">
              <w:trPr>
                <w:trHeight w:val="106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序号</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项目名称</w:t>
                  </w: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建设地点</w:t>
                  </w:r>
                </w:p>
              </w:tc>
              <w:tc>
                <w:tcPr>
                  <w:tcW w:w="2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建设单位</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环评机构</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项目概况</w:t>
                  </w: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6F1795">
                  <w:pPr>
                    <w:widowControl/>
                    <w:spacing w:beforeAutospacing="1" w:afterAutospacing="1" w:line="378" w:lineRule="atLeast"/>
                    <w:jc w:val="center"/>
                    <w:rPr>
                      <w:szCs w:val="21"/>
                    </w:rPr>
                  </w:pPr>
                  <w:r>
                    <w:rPr>
                      <w:rFonts w:ascii="宋体" w:eastAsia="宋体" w:hAnsi="宋体" w:cs="宋体" w:hint="eastAsia"/>
                      <w:b/>
                      <w:color w:val="555555"/>
                      <w:kern w:val="0"/>
                      <w:szCs w:val="21"/>
                    </w:rPr>
                    <w:t>主要环境影响及预防或者减轻不良环境影响的对策和措施</w:t>
                  </w:r>
                </w:p>
              </w:tc>
            </w:tr>
            <w:tr w:rsidR="00E76A49" w:rsidTr="00593A2B">
              <w:trPr>
                <w:trHeight w:val="625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3740A2">
                  <w:pPr>
                    <w:widowControl/>
                    <w:spacing w:beforeAutospacing="1" w:afterAutospacing="1" w:line="378" w:lineRule="atLeast"/>
                    <w:jc w:val="center"/>
                    <w:rPr>
                      <w:szCs w:val="21"/>
                    </w:rPr>
                  </w:pPr>
                  <w:r>
                    <w:rPr>
                      <w:rFonts w:hint="eastAsia"/>
                      <w:szCs w:val="21"/>
                    </w:rPr>
                    <w:lastRenderedPageBreak/>
                    <w:t>1</w:t>
                  </w:r>
                </w:p>
              </w:tc>
              <w:tc>
                <w:tcPr>
                  <w:tcW w:w="6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3740A2">
                  <w:pPr>
                    <w:widowControl/>
                    <w:spacing w:beforeAutospacing="1" w:afterAutospacing="1" w:line="378" w:lineRule="atLeast"/>
                    <w:jc w:val="center"/>
                    <w:rPr>
                      <w:szCs w:val="21"/>
                    </w:rPr>
                  </w:pPr>
                  <w:r w:rsidRPr="003740A2">
                    <w:rPr>
                      <w:rFonts w:hint="eastAsia"/>
                      <w:szCs w:val="21"/>
                    </w:rPr>
                    <w:t>会宁县</w:t>
                  </w:r>
                  <w:r w:rsidRPr="003740A2">
                    <w:rPr>
                      <w:rFonts w:hint="eastAsia"/>
                      <w:szCs w:val="21"/>
                    </w:rPr>
                    <w:t>X503</w:t>
                  </w:r>
                  <w:r w:rsidRPr="003740A2">
                    <w:rPr>
                      <w:rFonts w:hint="eastAsia"/>
                      <w:szCs w:val="21"/>
                    </w:rPr>
                    <w:t>会宁至八里公路工程</w:t>
                  </w: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E4571B">
                  <w:pPr>
                    <w:widowControl/>
                    <w:spacing w:beforeAutospacing="1" w:afterAutospacing="1" w:line="378" w:lineRule="atLeast"/>
                    <w:jc w:val="center"/>
                    <w:rPr>
                      <w:szCs w:val="21"/>
                    </w:rPr>
                  </w:pPr>
                  <w:r w:rsidRPr="002A22B9">
                    <w:rPr>
                      <w:szCs w:val="32"/>
                    </w:rPr>
                    <w:t>起点位于会宁县城东侧东河村接</w:t>
                  </w:r>
                  <w:r w:rsidRPr="002A22B9">
                    <w:rPr>
                      <w:szCs w:val="32"/>
                    </w:rPr>
                    <w:t xml:space="preserve">G312 </w:t>
                  </w:r>
                  <w:r w:rsidRPr="002A22B9">
                    <w:rPr>
                      <w:szCs w:val="32"/>
                    </w:rPr>
                    <w:t>线，向北跨越东河后下穿</w:t>
                  </w:r>
                  <w:r w:rsidRPr="002A22B9">
                    <w:rPr>
                      <w:szCs w:val="32"/>
                    </w:rPr>
                    <w:t xml:space="preserve">G22 </w:t>
                  </w:r>
                  <w:r w:rsidRPr="002A22B9">
                    <w:rPr>
                      <w:szCs w:val="32"/>
                    </w:rPr>
                    <w:t>青兰高速上山，经东七里铺、乱湾、刘家咀后至东山梁，后利用旧路改造经张家湾、新庄湾、陈家去村、田家湾、小毛湾，终点位于八里湾乡接</w:t>
                  </w:r>
                  <w:r w:rsidRPr="002A22B9">
                    <w:rPr>
                      <w:szCs w:val="32"/>
                    </w:rPr>
                    <w:t>S562</w:t>
                  </w:r>
                  <w:r w:rsidRPr="002A22B9">
                    <w:rPr>
                      <w:szCs w:val="32"/>
                    </w:rPr>
                    <w:t>线；东山森林公园支线起点位于东山森林公园门口，与延安街顺接，经东</w:t>
                  </w:r>
                  <w:r w:rsidRPr="002A22B9">
                    <w:rPr>
                      <w:szCs w:val="32"/>
                    </w:rPr>
                    <w:lastRenderedPageBreak/>
                    <w:t>山梁、稍岔村，终点位于东山梁，与推荐线相接。</w:t>
                  </w:r>
                </w:p>
              </w:tc>
              <w:tc>
                <w:tcPr>
                  <w:tcW w:w="2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3740A2">
                  <w:pPr>
                    <w:widowControl/>
                    <w:spacing w:beforeAutospacing="1" w:afterAutospacing="1" w:line="378" w:lineRule="atLeast"/>
                    <w:jc w:val="center"/>
                    <w:rPr>
                      <w:szCs w:val="21"/>
                    </w:rPr>
                  </w:pPr>
                  <w:r w:rsidRPr="003740A2">
                    <w:rPr>
                      <w:rFonts w:hint="eastAsia"/>
                      <w:szCs w:val="21"/>
                    </w:rPr>
                    <w:lastRenderedPageBreak/>
                    <w:t>会宁县县乡公路养护站</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3740A2">
                  <w:pPr>
                    <w:widowControl/>
                    <w:spacing w:beforeAutospacing="1" w:afterAutospacing="1" w:line="360" w:lineRule="atLeast"/>
                    <w:jc w:val="left"/>
                    <w:rPr>
                      <w:szCs w:val="21"/>
                    </w:rPr>
                  </w:pPr>
                  <w:r>
                    <w:rPr>
                      <w:rFonts w:hint="eastAsia"/>
                      <w:szCs w:val="21"/>
                    </w:rPr>
                    <w:t>甘肃省交通环境监测中心有限公司</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B94CCF" w:rsidP="00021D7B">
                  <w:pPr>
                    <w:widowControl/>
                    <w:spacing w:beforeAutospacing="1" w:afterAutospacing="1" w:line="360" w:lineRule="atLeast"/>
                    <w:jc w:val="left"/>
                    <w:rPr>
                      <w:szCs w:val="21"/>
                    </w:rPr>
                  </w:pPr>
                  <w:r w:rsidRPr="00B94CCF">
                    <w:rPr>
                      <w:rFonts w:hint="eastAsia"/>
                      <w:szCs w:val="21"/>
                    </w:rPr>
                    <w:t>本项目</w:t>
                  </w:r>
                  <w:r w:rsidR="00021D7B">
                    <w:rPr>
                      <w:rFonts w:hint="eastAsia"/>
                      <w:szCs w:val="21"/>
                    </w:rPr>
                    <w:t>建设性质为改建</w:t>
                  </w:r>
                  <w:r w:rsidRPr="00B94CCF">
                    <w:rPr>
                      <w:rFonts w:hint="eastAsia"/>
                      <w:szCs w:val="21"/>
                    </w:rPr>
                    <w:t>，主线起点位于会宁县城东侧东河村接</w:t>
                  </w:r>
                  <w:r w:rsidRPr="00B94CCF">
                    <w:rPr>
                      <w:rFonts w:hint="eastAsia"/>
                      <w:szCs w:val="21"/>
                    </w:rPr>
                    <w:t>G312</w:t>
                  </w:r>
                  <w:r w:rsidRPr="00B94CCF">
                    <w:rPr>
                      <w:rFonts w:hint="eastAsia"/>
                      <w:szCs w:val="21"/>
                    </w:rPr>
                    <w:t>线，终点位于八里湾乡接</w:t>
                  </w:r>
                  <w:r w:rsidRPr="00B94CCF">
                    <w:rPr>
                      <w:rFonts w:hint="eastAsia"/>
                      <w:szCs w:val="21"/>
                    </w:rPr>
                    <w:t>S562</w:t>
                  </w:r>
                  <w:r w:rsidRPr="00B94CCF">
                    <w:rPr>
                      <w:rFonts w:hint="eastAsia"/>
                      <w:szCs w:val="21"/>
                    </w:rPr>
                    <w:t>线，支线起点位于东山森林公园门口，终点位于东山梁，与主线相接。全线道路等级为三级路，路线全长</w:t>
                  </w:r>
                  <w:r w:rsidRPr="00B94CCF">
                    <w:rPr>
                      <w:rFonts w:hint="eastAsia"/>
                      <w:szCs w:val="21"/>
                    </w:rPr>
                    <w:t>35.29km</w:t>
                  </w:r>
                  <w:r w:rsidRPr="00B94CCF">
                    <w:rPr>
                      <w:rFonts w:hint="eastAsia"/>
                      <w:szCs w:val="21"/>
                    </w:rPr>
                    <w:t>，设计速度为</w:t>
                  </w:r>
                  <w:r w:rsidRPr="00B94CCF">
                    <w:rPr>
                      <w:rFonts w:hint="eastAsia"/>
                      <w:szCs w:val="21"/>
                    </w:rPr>
                    <w:t>30km/h</w:t>
                  </w:r>
                  <w:r w:rsidRPr="00B94CCF">
                    <w:rPr>
                      <w:rFonts w:hint="eastAsia"/>
                      <w:szCs w:val="21"/>
                    </w:rPr>
                    <w:t>，路面结构为沥青混凝土路面。</w:t>
                  </w: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76A49" w:rsidRDefault="00736612" w:rsidP="00B75D82">
                  <w:pPr>
                    <w:widowControl/>
                    <w:spacing w:before="100" w:beforeAutospacing="1" w:after="100" w:afterAutospacing="1"/>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（一）</w:t>
                  </w:r>
                  <w:r w:rsidR="00022A35" w:rsidRPr="00022A35">
                    <w:rPr>
                      <w:rFonts w:ascii="宋体" w:eastAsia="宋体" w:hAnsi="宋体" w:cs="宋体"/>
                      <w:color w:val="000000"/>
                      <w:kern w:val="0"/>
                      <w:szCs w:val="21"/>
                    </w:rPr>
                    <w:t>施工材料堆放场地</w:t>
                  </w:r>
                  <w:r w:rsidR="00022A35">
                    <w:rPr>
                      <w:rFonts w:ascii="宋体" w:eastAsia="宋体" w:hAnsi="宋体" w:cs="宋体" w:hint="eastAsia"/>
                      <w:color w:val="000000"/>
                      <w:kern w:val="0"/>
                      <w:szCs w:val="21"/>
                    </w:rPr>
                    <w:t>设置</w:t>
                  </w:r>
                  <w:r w:rsidR="00022A35" w:rsidRPr="00022A35">
                    <w:rPr>
                      <w:rFonts w:ascii="宋体" w:eastAsia="宋体" w:hAnsi="宋体" w:cs="宋体"/>
                      <w:color w:val="000000"/>
                      <w:kern w:val="0"/>
                      <w:szCs w:val="21"/>
                    </w:rPr>
                    <w:t>蓬盖，以减少雨水冲刷造成污染。</w:t>
                  </w:r>
                  <w:r w:rsidR="00D21577" w:rsidRPr="00D21577">
                    <w:rPr>
                      <w:rFonts w:ascii="宋体" w:eastAsia="宋体" w:hAnsi="宋体" w:cs="宋体"/>
                      <w:color w:val="000000"/>
                      <w:kern w:val="0"/>
                      <w:szCs w:val="21"/>
                    </w:rPr>
                    <w:t>生活污水采用化粪池收集处理，定期清掏。施工废水采用沉淀池收集，不外排。</w:t>
                  </w:r>
                </w:p>
                <w:p w:rsidR="00B75D82" w:rsidRDefault="00B75D82" w:rsidP="00F35A5D">
                  <w:pPr>
                    <w:widowControl/>
                    <w:spacing w:before="100" w:beforeAutospacing="1" w:after="100" w:afterAutospacing="1"/>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（二）</w:t>
                  </w:r>
                  <w:r w:rsidR="00F35A5D" w:rsidRPr="00F35A5D">
                    <w:rPr>
                      <w:rFonts w:ascii="宋体" w:eastAsia="宋体" w:hAnsi="宋体" w:cs="宋体"/>
                      <w:color w:val="000000"/>
                      <w:kern w:val="0"/>
                      <w:szCs w:val="21"/>
                    </w:rPr>
                    <w:t>施工</w:t>
                  </w:r>
                  <w:r w:rsidR="00F35A5D">
                    <w:rPr>
                      <w:rFonts w:ascii="宋体" w:eastAsia="宋体" w:hAnsi="宋体" w:cs="宋体" w:hint="eastAsia"/>
                      <w:color w:val="000000"/>
                      <w:kern w:val="0"/>
                      <w:szCs w:val="21"/>
                    </w:rPr>
                    <w:t>期</w:t>
                  </w:r>
                  <w:r w:rsidR="00F35A5D" w:rsidRPr="00F35A5D">
                    <w:rPr>
                      <w:rFonts w:ascii="宋体" w:eastAsia="宋体" w:hAnsi="宋体" w:cs="宋体"/>
                      <w:color w:val="000000"/>
                      <w:kern w:val="0"/>
                      <w:szCs w:val="21"/>
                    </w:rPr>
                    <w:t>严格落实 “洒水、覆盖、硬化、冲洗、绿化、围挡”六个100%</w:t>
                  </w:r>
                  <w:r w:rsidR="00F35A5D">
                    <w:rPr>
                      <w:rFonts w:ascii="宋体" w:eastAsia="宋体" w:hAnsi="宋体" w:cs="宋体" w:hint="eastAsia"/>
                      <w:color w:val="000000"/>
                      <w:kern w:val="0"/>
                      <w:szCs w:val="21"/>
                    </w:rPr>
                    <w:t>大气防治</w:t>
                  </w:r>
                  <w:r w:rsidR="00F35A5D" w:rsidRPr="00F35A5D">
                    <w:rPr>
                      <w:rFonts w:ascii="宋体" w:eastAsia="宋体" w:hAnsi="宋体" w:cs="宋体"/>
                      <w:color w:val="000000"/>
                      <w:kern w:val="0"/>
                      <w:szCs w:val="21"/>
                    </w:rPr>
                    <w:t>措施</w:t>
                  </w:r>
                  <w:r w:rsidR="00F35A5D">
                    <w:rPr>
                      <w:rFonts w:ascii="宋体" w:eastAsia="宋体" w:hAnsi="宋体" w:cs="宋体" w:hint="eastAsia"/>
                      <w:color w:val="000000"/>
                      <w:kern w:val="0"/>
                      <w:szCs w:val="21"/>
                    </w:rPr>
                    <w:t>。</w:t>
                  </w:r>
                </w:p>
                <w:p w:rsidR="00F35A5D" w:rsidRDefault="00F35A5D" w:rsidP="009D3914">
                  <w:pPr>
                    <w:widowControl/>
                    <w:spacing w:before="100" w:beforeAutospacing="1" w:after="100" w:afterAutospacing="1"/>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（三）</w:t>
                  </w:r>
                  <w:r w:rsidR="009D3914" w:rsidRPr="009D3914">
                    <w:rPr>
                      <w:rFonts w:ascii="宋体" w:eastAsia="宋体" w:hAnsi="宋体" w:cs="宋体" w:hint="eastAsia"/>
                      <w:color w:val="000000"/>
                      <w:kern w:val="0"/>
                      <w:szCs w:val="21"/>
                    </w:rPr>
                    <w:t>旧路拆除的废旧沥青，采用冷回收技术回用，不外排。</w:t>
                  </w:r>
                  <w:r w:rsidR="009D3914">
                    <w:rPr>
                      <w:rFonts w:ascii="宋体" w:eastAsia="宋体" w:hAnsi="宋体" w:cs="宋体"/>
                      <w:color w:val="000000"/>
                      <w:kern w:val="0"/>
                      <w:szCs w:val="21"/>
                    </w:rPr>
                    <w:t>施工营地的生活垃圾，</w:t>
                  </w:r>
                  <w:r w:rsidR="009D3914" w:rsidRPr="009D3914">
                    <w:rPr>
                      <w:rFonts w:ascii="宋体" w:eastAsia="宋体" w:hAnsi="宋体" w:cs="宋体"/>
                      <w:color w:val="000000"/>
                      <w:kern w:val="0"/>
                      <w:szCs w:val="21"/>
                    </w:rPr>
                    <w:t>设置垃圾箱临时存储</w:t>
                  </w:r>
                  <w:r w:rsidR="009D3914">
                    <w:rPr>
                      <w:rFonts w:ascii="宋体" w:eastAsia="宋体" w:hAnsi="宋体" w:cs="宋体" w:hint="eastAsia"/>
                      <w:color w:val="000000"/>
                      <w:kern w:val="0"/>
                      <w:szCs w:val="21"/>
                    </w:rPr>
                    <w:t>后</w:t>
                  </w:r>
                  <w:r w:rsidR="009D3914" w:rsidRPr="009D3914">
                    <w:rPr>
                      <w:rFonts w:ascii="宋体" w:eastAsia="宋体" w:hAnsi="宋体" w:cs="宋体"/>
                      <w:color w:val="000000"/>
                      <w:kern w:val="0"/>
                      <w:szCs w:val="21"/>
                    </w:rPr>
                    <w:t>定期清运送至附近的生活垃圾填埋场</w:t>
                  </w:r>
                  <w:r w:rsidR="009D3914">
                    <w:rPr>
                      <w:rFonts w:ascii="宋体" w:eastAsia="宋体" w:hAnsi="宋体" w:cs="宋体" w:hint="eastAsia"/>
                      <w:color w:val="000000"/>
                      <w:kern w:val="0"/>
                      <w:szCs w:val="21"/>
                    </w:rPr>
                    <w:t>处理</w:t>
                  </w:r>
                  <w:r w:rsidR="009D3914" w:rsidRPr="009D3914">
                    <w:rPr>
                      <w:rFonts w:ascii="宋体" w:eastAsia="宋体" w:hAnsi="宋体" w:cs="宋体"/>
                      <w:color w:val="000000"/>
                      <w:kern w:val="0"/>
                      <w:szCs w:val="21"/>
                    </w:rPr>
                    <w:t>。</w:t>
                  </w:r>
                </w:p>
                <w:p w:rsidR="00866376" w:rsidRDefault="00866376" w:rsidP="007237CD">
                  <w:pPr>
                    <w:widowControl/>
                    <w:spacing w:before="100" w:beforeAutospacing="1" w:after="100" w:afterAutospacing="1"/>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（四）</w:t>
                  </w:r>
                  <w:r w:rsidR="007237CD" w:rsidRPr="007237CD">
                    <w:rPr>
                      <w:rFonts w:ascii="宋体" w:eastAsia="宋体" w:hAnsi="宋体" w:cs="宋体"/>
                      <w:color w:val="000000"/>
                      <w:kern w:val="0"/>
                      <w:szCs w:val="21"/>
                    </w:rPr>
                    <w:t>施工期采取合理布局施工现场、安排施工作业时间等措施后，噪声对周边环境及敏感点影响较小</w:t>
                  </w:r>
                  <w:r w:rsidR="007237CD">
                    <w:rPr>
                      <w:rFonts w:ascii="宋体" w:eastAsia="宋体" w:hAnsi="宋体" w:cs="宋体" w:hint="eastAsia"/>
                      <w:color w:val="000000"/>
                      <w:kern w:val="0"/>
                      <w:szCs w:val="21"/>
                    </w:rPr>
                    <w:t>。</w:t>
                  </w:r>
                  <w:r w:rsidR="007237CD" w:rsidRPr="007237CD">
                    <w:rPr>
                      <w:rFonts w:ascii="宋体" w:eastAsia="宋体" w:hAnsi="宋体" w:cs="宋体" w:hint="eastAsia"/>
                      <w:color w:val="000000"/>
                      <w:kern w:val="0"/>
                      <w:szCs w:val="21"/>
                    </w:rPr>
                    <w:t>本次项目评价范围内敏感点</w:t>
                  </w:r>
                  <w:r w:rsidR="007237CD" w:rsidRPr="007237CD">
                    <w:rPr>
                      <w:rFonts w:ascii="宋体" w:eastAsia="宋体" w:hAnsi="宋体" w:cs="宋体"/>
                      <w:color w:val="000000"/>
                      <w:kern w:val="0"/>
                      <w:szCs w:val="21"/>
                    </w:rPr>
                    <w:t>各时段</w:t>
                  </w:r>
                  <w:r w:rsidR="007237CD">
                    <w:rPr>
                      <w:rFonts w:ascii="宋体" w:eastAsia="宋体" w:hAnsi="宋体" w:cs="宋体" w:hint="eastAsia"/>
                      <w:color w:val="000000"/>
                      <w:kern w:val="0"/>
                      <w:szCs w:val="21"/>
                    </w:rPr>
                    <w:t>噪声</w:t>
                  </w:r>
                  <w:r w:rsidR="007237CD" w:rsidRPr="007237CD">
                    <w:rPr>
                      <w:rFonts w:ascii="宋体" w:eastAsia="宋体" w:hAnsi="宋体" w:cs="宋体"/>
                      <w:color w:val="000000"/>
                      <w:kern w:val="0"/>
                      <w:szCs w:val="21"/>
                    </w:rPr>
                    <w:t>预测达标</w:t>
                  </w:r>
                  <w:r w:rsidR="007237CD">
                    <w:rPr>
                      <w:rFonts w:ascii="宋体" w:eastAsia="宋体" w:hAnsi="宋体" w:cs="宋体" w:hint="eastAsia"/>
                      <w:color w:val="000000"/>
                      <w:kern w:val="0"/>
                      <w:szCs w:val="21"/>
                    </w:rPr>
                    <w:t>，</w:t>
                  </w:r>
                  <w:r w:rsidR="007237CD" w:rsidRPr="007237CD">
                    <w:rPr>
                      <w:rFonts w:ascii="宋体" w:eastAsia="宋体" w:hAnsi="宋体" w:cs="宋体" w:hint="eastAsia"/>
                      <w:color w:val="000000"/>
                      <w:kern w:val="0"/>
                      <w:szCs w:val="21"/>
                    </w:rPr>
                    <w:t>项目需预留环保专项资金，用于后期噪声超标及时采取降噪措施。</w:t>
                  </w:r>
                </w:p>
                <w:p w:rsidR="008B79D6" w:rsidRPr="00866376" w:rsidRDefault="008B79D6" w:rsidP="000A1A8F">
                  <w:pPr>
                    <w:widowControl/>
                    <w:spacing w:before="100" w:beforeAutospacing="1" w:after="100" w:afterAutospacing="1"/>
                    <w:ind w:firstLine="420"/>
                    <w:jc w:val="left"/>
                    <w:rPr>
                      <w:rFonts w:ascii="宋体" w:eastAsia="宋体" w:hAnsi="宋体" w:cs="宋体"/>
                      <w:color w:val="000000"/>
                      <w:kern w:val="0"/>
                      <w:szCs w:val="21"/>
                    </w:rPr>
                  </w:pPr>
                  <w:r>
                    <w:rPr>
                      <w:rFonts w:ascii="宋体" w:eastAsia="宋体" w:hAnsi="宋体" w:cs="宋体" w:hint="eastAsia"/>
                      <w:color w:val="000000"/>
                      <w:kern w:val="0"/>
                      <w:szCs w:val="21"/>
                    </w:rPr>
                    <w:t>（五）</w:t>
                  </w:r>
                  <w:r w:rsidR="006F1795" w:rsidRPr="006F1795">
                    <w:rPr>
                      <w:rFonts w:ascii="宋体" w:eastAsia="宋体" w:hAnsi="宋体" w:cs="宋体" w:hint="eastAsia"/>
                      <w:color w:val="000000"/>
                      <w:kern w:val="0"/>
                      <w:szCs w:val="21"/>
                    </w:rPr>
                    <w:t>项目结束后及时恢复植被，</w:t>
                  </w:r>
                  <w:r w:rsidR="006F1795">
                    <w:rPr>
                      <w:rFonts w:ascii="宋体" w:eastAsia="宋体" w:hAnsi="宋体" w:cs="宋体" w:hint="eastAsia"/>
                      <w:color w:val="000000"/>
                      <w:kern w:val="0"/>
                      <w:szCs w:val="21"/>
                    </w:rPr>
                    <w:t>公路</w:t>
                  </w:r>
                  <w:r w:rsidR="006F1795" w:rsidRPr="006F1795">
                    <w:rPr>
                      <w:rFonts w:ascii="宋体" w:eastAsia="宋体" w:hAnsi="宋体" w:cs="宋体" w:hint="eastAsia"/>
                      <w:color w:val="000000"/>
                      <w:kern w:val="0"/>
                      <w:szCs w:val="21"/>
                    </w:rPr>
                    <w:t>占地对生态环境的影响较小。公路营运期应加强沿线植被管理，选用适宜植被及时进行绿化，使绿化植被发挥其生态功能，改善公路沿线景观效果。</w:t>
                  </w:r>
                  <w:bookmarkStart w:id="0" w:name="_GoBack"/>
                  <w:bookmarkEnd w:id="0"/>
                </w:p>
              </w:tc>
            </w:tr>
          </w:tbl>
          <w:p w:rsidR="00E76A49" w:rsidRDefault="00E76A49">
            <w:pPr>
              <w:spacing w:beforeAutospacing="1" w:afterAutospacing="1" w:line="378" w:lineRule="atLeast"/>
              <w:rPr>
                <w:rFonts w:ascii="微软雅黑" w:eastAsia="微软雅黑" w:hAnsi="微软雅黑" w:cs="微软雅黑"/>
                <w:color w:val="5A5A5A"/>
                <w:szCs w:val="21"/>
              </w:rPr>
            </w:pPr>
          </w:p>
        </w:tc>
      </w:tr>
    </w:tbl>
    <w:p w:rsidR="00E76A49" w:rsidRDefault="00E76A49"/>
    <w:sectPr w:rsidR="00E76A49" w:rsidSect="002B1487">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8C" w:rsidRDefault="00E22F8C" w:rsidP="00593A2B">
      <w:r>
        <w:separator/>
      </w:r>
    </w:p>
  </w:endnote>
  <w:endnote w:type="continuationSeparator" w:id="0">
    <w:p w:rsidR="00E22F8C" w:rsidRDefault="00E22F8C" w:rsidP="00593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8C" w:rsidRDefault="00E22F8C" w:rsidP="00593A2B">
      <w:r>
        <w:separator/>
      </w:r>
    </w:p>
  </w:footnote>
  <w:footnote w:type="continuationSeparator" w:id="0">
    <w:p w:rsidR="00E22F8C" w:rsidRDefault="00E22F8C" w:rsidP="00593A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hideSpellingErrors/>
  <w:hideGrammaticalErrors/>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jFmNjk4NTlmN2M0ZTEwYTZiMGJkM2M0MGM1YmY4ODIifQ=="/>
  </w:docVars>
  <w:rsids>
    <w:rsidRoot w:val="00172A27"/>
    <w:rsid w:val="00021D7B"/>
    <w:rsid w:val="00022A35"/>
    <w:rsid w:val="000A1A8F"/>
    <w:rsid w:val="00172A27"/>
    <w:rsid w:val="002B1487"/>
    <w:rsid w:val="003740A2"/>
    <w:rsid w:val="003D2315"/>
    <w:rsid w:val="004B599E"/>
    <w:rsid w:val="00593A2B"/>
    <w:rsid w:val="006F1795"/>
    <w:rsid w:val="007237CD"/>
    <w:rsid w:val="00736612"/>
    <w:rsid w:val="00866376"/>
    <w:rsid w:val="008B79D6"/>
    <w:rsid w:val="009D3914"/>
    <w:rsid w:val="00B75D82"/>
    <w:rsid w:val="00B8724D"/>
    <w:rsid w:val="00B94CCF"/>
    <w:rsid w:val="00D21577"/>
    <w:rsid w:val="00E22F8C"/>
    <w:rsid w:val="00E4571B"/>
    <w:rsid w:val="00E76A49"/>
    <w:rsid w:val="00F35A5D"/>
    <w:rsid w:val="02354CF5"/>
    <w:rsid w:val="028E5384"/>
    <w:rsid w:val="08AC6977"/>
    <w:rsid w:val="094F6064"/>
    <w:rsid w:val="18B117F9"/>
    <w:rsid w:val="1E875561"/>
    <w:rsid w:val="2AD63213"/>
    <w:rsid w:val="2C3D1F5E"/>
    <w:rsid w:val="2F547055"/>
    <w:rsid w:val="3A9B6EDB"/>
    <w:rsid w:val="3FD768C7"/>
    <w:rsid w:val="42237948"/>
    <w:rsid w:val="4AC92417"/>
    <w:rsid w:val="511455FA"/>
    <w:rsid w:val="51FE5814"/>
    <w:rsid w:val="525D0304"/>
    <w:rsid w:val="5D221B2D"/>
    <w:rsid w:val="5F9F71B7"/>
    <w:rsid w:val="635E0A69"/>
    <w:rsid w:val="660936F6"/>
    <w:rsid w:val="6FCA3EE8"/>
    <w:rsid w:val="71A82E0C"/>
    <w:rsid w:val="77DF2E38"/>
    <w:rsid w:val="77F43D1B"/>
    <w:rsid w:val="78D20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148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B1487"/>
    <w:pPr>
      <w:spacing w:beforeAutospacing="1" w:afterAutospacing="1"/>
      <w:jc w:val="left"/>
    </w:pPr>
    <w:rPr>
      <w:rFonts w:cs="Times New Roman"/>
      <w:kern w:val="0"/>
      <w:sz w:val="24"/>
    </w:rPr>
  </w:style>
  <w:style w:type="character" w:styleId="a4">
    <w:name w:val="Strong"/>
    <w:basedOn w:val="a0"/>
    <w:qFormat/>
    <w:rsid w:val="002B1487"/>
    <w:rPr>
      <w:b/>
    </w:rPr>
  </w:style>
  <w:style w:type="paragraph" w:customStyle="1" w:styleId="a5">
    <w:name w:val="报告表正文"/>
    <w:basedOn w:val="a"/>
    <w:qFormat/>
    <w:rsid w:val="002B1487"/>
    <w:pPr>
      <w:adjustRightInd w:val="0"/>
      <w:spacing w:line="312" w:lineRule="auto"/>
      <w:ind w:left="113" w:right="113" w:firstLine="482"/>
      <w:jc w:val="left"/>
      <w:textAlignment w:val="baseline"/>
    </w:pPr>
    <w:rPr>
      <w:kern w:val="0"/>
      <w:sz w:val="24"/>
      <w:szCs w:val="20"/>
    </w:rPr>
  </w:style>
  <w:style w:type="paragraph" w:styleId="a6">
    <w:name w:val="header"/>
    <w:basedOn w:val="a"/>
    <w:link w:val="Char"/>
    <w:rsid w:val="0059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93A2B"/>
    <w:rPr>
      <w:rFonts w:asciiTheme="minorHAnsi" w:eastAsiaTheme="minorEastAsia" w:hAnsiTheme="minorHAnsi" w:cstheme="minorBidi"/>
      <w:kern w:val="2"/>
      <w:sz w:val="18"/>
      <w:szCs w:val="18"/>
    </w:rPr>
  </w:style>
  <w:style w:type="paragraph" w:styleId="a7">
    <w:name w:val="footer"/>
    <w:basedOn w:val="a"/>
    <w:link w:val="Char0"/>
    <w:rsid w:val="00593A2B"/>
    <w:pPr>
      <w:tabs>
        <w:tab w:val="center" w:pos="4153"/>
        <w:tab w:val="right" w:pos="8306"/>
      </w:tabs>
      <w:snapToGrid w:val="0"/>
      <w:jc w:val="left"/>
    </w:pPr>
    <w:rPr>
      <w:sz w:val="18"/>
      <w:szCs w:val="18"/>
    </w:rPr>
  </w:style>
  <w:style w:type="character" w:customStyle="1" w:styleId="Char0">
    <w:name w:val="页脚 Char"/>
    <w:basedOn w:val="a0"/>
    <w:link w:val="a7"/>
    <w:rsid w:val="00593A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008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B8C43A-AE98-4C4B-A47D-325AEFB6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161</Words>
  <Characters>922</Characters>
  <Application>Microsoft Office Word</Application>
  <DocSecurity>0</DocSecurity>
  <Lines>7</Lines>
  <Paragraphs>2</Paragraphs>
  <ScaleCrop>false</ScaleCrop>
  <Company>Kingsoft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2021-04-29T09:04:00Z</cp:lastPrinted>
  <dcterms:created xsi:type="dcterms:W3CDTF">2022-07-12T00:56:00Z</dcterms:created>
  <dcterms:modified xsi:type="dcterms:W3CDTF">2022-07-12T01:36:00Z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13714F2D1DC9487ABDCF1EE5C7172E0D</vt:lpwstr>
  </property>
</Properties>
</file>