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rPr>
          <w:rFonts w:hint="eastAsia" w:ascii="仿宋" w:hAnsi="仿宋" w:eastAsia="黑体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会宁县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电子商务进农村综合示范“升级版”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项目工作领导小组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rPr>
          <w:rFonts w:hint="eastAsia" w:ascii="仿宋" w:hAnsi="仿宋" w:eastAsia="仿宋" w:cs="仿宋"/>
          <w:spacing w:val="-1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Style w:val="16"/>
          <w:rFonts w:ascii="仿宋_GB2312" w:hAnsi="仿宋_GB2312" w:eastAsia="仿宋_GB2312"/>
          <w:sz w:val="32"/>
          <w:szCs w:val="32"/>
        </w:rPr>
        <w:t>秦俊山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Style w:val="16"/>
          <w:rFonts w:ascii="仿宋_GB2312" w:hAnsi="仿宋_GB2312" w:eastAsia="仿宋_GB2312"/>
          <w:sz w:val="32"/>
          <w:szCs w:val="32"/>
        </w:rPr>
        <w:t>李  桐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王炳乾</w:t>
      </w:r>
      <w:r>
        <w:rPr>
          <w:rStyle w:val="16"/>
          <w:rFonts w:ascii="仿宋_GB2312" w:hAnsi="仿宋_GB2312" w:eastAsia="仿宋_GB2312"/>
          <w:sz w:val="32"/>
          <w:szCs w:val="32"/>
        </w:rPr>
        <w:t xml:space="preserve">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张  旭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张睿阳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侯卫刚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 xml:space="preserve">  县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纪委副书记、监委副主任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赵彦功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周国强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李树森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陈炜政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李振华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周文鹏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邢欢民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牛  军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张  琪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王  继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周发禄  县农业农村局局长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李继军  县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文体广电和旅游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武志信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县林草局局长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王国保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杨  恒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陈继荣  县经合局局长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张亚兵  国家税务总局会宁县税务局局长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李  岩  县扶贫办主任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任双勤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 xml:space="preserve">  县金融办主任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textAlignment w:val="baseline"/>
        <w:rPr>
          <w:rStyle w:val="16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马荣昌  县供销联社主任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textAlignment w:val="baseline"/>
        <w:rPr>
          <w:rStyle w:val="16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/>
        </w:rPr>
        <w:t>石应虎  中国人民银行会宁县支行行长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textAlignment w:val="baseline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戚红玲  中国邮政会宁分公司经理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textAlignment w:val="baseline"/>
        <w:rPr>
          <w:rStyle w:val="16"/>
          <w:rFonts w:hint="eastAsia" w:ascii="仿宋_GB2312" w:hAnsi="仿宋_GB2312" w:eastAsia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</w:rPr>
        <w:t>赵  焜  国网会宁供电公司经理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  黎  中国电信会宁分公司经理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杨克荣  中国移动会宁分公司经理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各乡镇党委书记、乡镇长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" w:hAnsi="仿宋" w:eastAsia="仿宋" w:cs="仿宋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领导小组下设办公室，办公室设在县商务局，牛军同志兼任办公室主任，具体负责电子商务进农村日常工作。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04" w:gutter="0"/>
          <w:pgNumType w:fmt="numberInDash"/>
          <w:cols w:space="0" w:num="1"/>
          <w:titlePg/>
          <w:rtlGutter w:val="0"/>
          <w:docGrid w:type="lines" w:linePitch="318" w:charSpace="0"/>
        </w:sect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10"/>
        <w:tblW w:w="4999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259"/>
        <w:gridCol w:w="2514"/>
        <w:gridCol w:w="9035"/>
        <w:gridCol w:w="657"/>
        <w:gridCol w:w="664"/>
        <w:gridCol w:w="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会宁县2020年国家电子商务进农村示范项目资金安排表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类目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资金安排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县乡村三级物流共同配送体系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县级电商物流仓储配送中心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农村电商发展需要，在现有资源的基础上，1.升级改造县级电商物流仓储中心、打造商贸流通体系平台建设，增加设施设备、物流及冷链车辆及运行维护、智能化分拣线等。2.升级改造县级电商物流配送中心；推动电商、快递物流融合发展，完善工业品下乡和农产品进城双向配送体系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农畜牧产品冷链物流仓储配送中心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利用我县产业布局及现有冷链物流仓储配送基础优势，在郭城驿、土门、韩家集、白塬、中川建设农畜牧产品冷链物流仓储配送中心5个。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乡村“电商+物流快递”服务示范站点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整合28个乡镇原有的电商服务站点及物流快递服务站点资源，改造“电商+物流快递”服务示范站28个，示范点84个。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县域电子商务区域性循环体系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县级公共服务中心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化会宁县电商公共服务中心功能，加强对乡村服务站点的服务指导，完善人才培育、企业孵化、品牌打造、标准化建设、网店搭建、视频美工等公共服务功能；入驻、孵化电商企业30户以上，带动就业200人次以上；制定网销农产品质量标准体系2种以上，完成农产品“三品一标”认证5种以上。2.建设会宁县电商大数据平台，采集、汇总县域电商有关数据(电商经营者、销售市场等)，形成电商大数据月报，并对电商企业、合作社产品进行大数据分析，聘请第三方做项目咨询服务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汉唐街“1+N”电商产业集聚区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以汉唐街为载体，整合电商中心、物流配送中心、产品特色馆、红色旅游、新农人、非遗传承、文旅平台、龙头企业、电商企业、专业合作社、家庭农场、生产基地等，升级全街产业布局，打造文创产业基地，建成以本地化、连锁化、信息化的商贸流通网络，推动电商、物流、培训、金融、创意等结合的电商产业集聚区。2.以电商带动产业、生态带动发展、文旅带动消费，植入“数字乡村”，打造会宁县乡村振兴馆。3.打造汉唐电子商务一条街，引进智慧文旅平台，街景街貌以“汉唐”+电商文化元素为主，实现汉唐街以“产业、生态、文旅”三位一体的智慧电商街道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本地农产品电商品牌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打造区域公共品牌1个，电商溯源示范体系4套，“电商+红色旅游+金色教育+绿色产业”亮点网货产品3个。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电子商务新零售模式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传统商贸流通企业转型升级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农村地区商贸流通企业转型升级，加强与电子商务、金融保险、移动支付、就业引导等资源对接，促进业务流程和组织结构优化重组，建设网货生产线和产品加工基地，开展网货研发和标准化生产，提高电商营销能力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电商新业态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培育扶持1至3位本土“网红”做大做强，举办3次网红代言人、抖音、快手大赛等活动，推荐特色网货产品。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农村电子商务培训体系</w:t>
            </w:r>
          </w:p>
        </w:tc>
        <w:tc>
          <w:tcPr>
            <w:tcW w:w="8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普及性培训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开展电商致富带头人、电商扶贫免费培训，针对电商创业需求提供市场化或者公益性的增值培训，营销、实操等培训500人次以上，其中建档立卡贫困户培训率达20%以上。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专业性培训</w:t>
            </w:r>
          </w:p>
        </w:tc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引进高端电商人才10人（含）以上；培养当地电商讲师30人（含）以上。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720" w:right="720" w:bottom="720" w:left="720" w:header="851" w:footer="1304" w:gutter="0"/>
          <w:pgNumType w:fmt="numberInDash"/>
          <w:cols w:space="0" w:num="1"/>
          <w:titlePg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1304" w:gutter="0"/>
      <w:pgNumType w:fmt="numberInDash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4946650</wp:posOffset>
              </wp:positionH>
              <wp:positionV relativeFrom="paragraph">
                <wp:posOffset>-227965</wp:posOffset>
              </wp:positionV>
              <wp:extent cx="66992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5pt;margin-top:-17.95pt;height:21.2pt;width:52.75pt;mso-position-horizontal-relative:margin;z-index:251659264;mso-width-relative:page;mso-height-relative:page;" filled="f" stroked="f" coordsize="21600,21600" o:gfxdata="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qBwD2QAAAAkBAAAPAAAAAAAAAAEAIAAAACIAAABkcnMvZG93bnJl&#10;di54bWxQSwECFAAUAAAACACHTuJAixFQK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-161290</wp:posOffset>
              </wp:positionV>
              <wp:extent cx="661035" cy="3073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2.7pt;height:24.2pt;width:52.05pt;mso-position-horizontal-relative:margin;z-index:251660288;mso-width-relative:page;mso-height-relative:page;" filled="f" stroked="f" coordsize="21600,21600" o:gfxdata="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IDT7tYAAAAHAQAADwAAAAAAAAABACAAAAAiAAAAZHJzL2Rvd25yZXYu&#10;eG1sUEsBAhQAFAAAAAgAh07iQNLSnwM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68FF"/>
    <w:rsid w:val="05112C5D"/>
    <w:rsid w:val="0556133F"/>
    <w:rsid w:val="080F7741"/>
    <w:rsid w:val="095D5A76"/>
    <w:rsid w:val="096C3BCC"/>
    <w:rsid w:val="0ED434C5"/>
    <w:rsid w:val="0EDD7793"/>
    <w:rsid w:val="154028C2"/>
    <w:rsid w:val="186C572A"/>
    <w:rsid w:val="1B9870DE"/>
    <w:rsid w:val="1EA63852"/>
    <w:rsid w:val="23807AAA"/>
    <w:rsid w:val="246D7802"/>
    <w:rsid w:val="24AA3EF2"/>
    <w:rsid w:val="25F30664"/>
    <w:rsid w:val="292459A1"/>
    <w:rsid w:val="2E8D00B1"/>
    <w:rsid w:val="2E95187D"/>
    <w:rsid w:val="35CB19AE"/>
    <w:rsid w:val="375F68FF"/>
    <w:rsid w:val="41111C1B"/>
    <w:rsid w:val="41AC6985"/>
    <w:rsid w:val="422303F0"/>
    <w:rsid w:val="423530F1"/>
    <w:rsid w:val="4237102F"/>
    <w:rsid w:val="439E74F0"/>
    <w:rsid w:val="461B7D35"/>
    <w:rsid w:val="461E1B9C"/>
    <w:rsid w:val="50134F1B"/>
    <w:rsid w:val="537B0BAF"/>
    <w:rsid w:val="586D35A7"/>
    <w:rsid w:val="5BB63A9D"/>
    <w:rsid w:val="5E281451"/>
    <w:rsid w:val="623279C8"/>
    <w:rsid w:val="62685836"/>
    <w:rsid w:val="64A054E0"/>
    <w:rsid w:val="71692A96"/>
    <w:rsid w:val="77526EB0"/>
    <w:rsid w:val="79C30D71"/>
    <w:rsid w:val="7C96539E"/>
    <w:rsid w:val="7FE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spacing w:before="0" w:beforeAutospacing="1" w:after="0" w:afterAutospacing="1" w:line="240" w:lineRule="auto"/>
      <w:jc w:val="left"/>
      <w:outlineLvl w:val="1"/>
    </w:pPr>
    <w:rPr>
      <w:rFonts w:hint="eastAsia" w:ascii="宋体" w:hAnsi="宋体" w:eastAsia="宋体" w:cs="宋体"/>
      <w:b/>
      <w:kern w:val="0"/>
      <w:sz w:val="3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/>
      <w:b/>
      <w:sz w:val="28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7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标题 2 Char"/>
    <w:basedOn w:val="11"/>
    <w:link w:val="4"/>
    <w:qFormat/>
    <w:uiPriority w:val="9"/>
    <w:rPr>
      <w:rFonts w:ascii="宋体" w:hAnsi="宋体" w:eastAsia="宋体" w:cstheme="minorBidi"/>
      <w:b/>
      <w:sz w:val="30"/>
      <w:szCs w:val="24"/>
    </w:rPr>
  </w:style>
  <w:style w:type="character" w:customStyle="1" w:styleId="15">
    <w:name w:val="标题 4 Char"/>
    <w:basedOn w:val="11"/>
    <w:link w:val="6"/>
    <w:qFormat/>
    <w:uiPriority w:val="0"/>
    <w:rPr>
      <w:rFonts w:ascii="Arial" w:hAnsi="Arial" w:eastAsia="宋体" w:cs="Times New Roman"/>
      <w:sz w:val="24"/>
    </w:rPr>
  </w:style>
  <w:style w:type="character" w:customStyle="1" w:styleId="1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2020-09-17T06:15:00Z</dcterms:created>
  <dc:creator>觸及不到你的素顏</dc:creator>
  <cp:lastModifiedBy>誓言今生</cp:lastModifiedBy>
  <cp:lastPrinted>2020-12-08T01:34:00Z</cp:lastPrinted>
  <dcterms:modified xsi:type="dcterms:W3CDTF">2022-02-18T05:50:43Z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CD9A0DDFF6E54965812CEE4D405293EC</vt:lpwstr>
  </property>
</Properties>
</file>