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2021年度12315受理处理消费投诉</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举报分析情况的通报</w:t>
      </w:r>
    </w:p>
    <w:bookmarkEnd w:id="0"/>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2021年全县受理消费者投诉、举报632件，比2020年同期上升2.43%。其中投诉457件，比去年同期上升23.18%；举报175件，比去年同期下降19.98%。（见表一）</w:t>
      </w:r>
    </w:p>
    <w:p>
      <w:pPr>
        <w:keepNext w:val="0"/>
        <w:keepLines w:val="0"/>
        <w:pageBreakBefore w:val="0"/>
        <w:widowControl w:val="0"/>
        <w:kinsoku/>
        <w:wordWrap/>
        <w:overflowPunct/>
        <w:topLinePunct w:val="0"/>
        <w:autoSpaceDE/>
        <w:autoSpaceDN/>
        <w:bidi w:val="0"/>
        <w:adjustRightInd/>
        <w:snapToGrid/>
        <w:spacing w:line="600" w:lineRule="atLeast"/>
        <w:ind w:firstLine="960" w:firstLineChars="3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2020年与2021年同比升降情况对照图（表一）</w:t>
      </w:r>
    </w:p>
    <w:tbl>
      <w:tblPr>
        <w:tblStyle w:val="4"/>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208"/>
        <w:gridCol w:w="2124"/>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040" w:type="dxa"/>
            <w:noWrap w:val="0"/>
            <w:vAlign w:val="center"/>
            <mc:AlternateContent>
              <mc:Choice Requires="wpsCustomData">
                <wpsCustomData:diagonals>
                  <wpsCustomData:diagonal from="30000" to="100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bidi w:val="0"/>
              <w:spacing w:line="600" w:lineRule="exact"/>
              <w:jc w:val="center"/>
              <w:textAlignment w:val="center"/>
              <mc:AlternateContent>
                <mc:Choice Requires="wpsCustomData">
                  <wpsCustomData:diagonalParaType/>
                </mc:Choice>
              </mc:AlternateContent>
              <w:rPr>
                <w:rFonts w:hint="eastAsia" w:ascii="仿宋_GB2312" w:hAnsi="宋体" w:eastAsia="仿宋_GB2312" w:cs="仿宋_GB2312"/>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时间</w:t>
            </w:r>
          </w:p>
        </w:tc>
        <w:tc>
          <w:tcPr>
            <w:tcW w:w="220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2020年（件）</w:t>
            </w:r>
          </w:p>
        </w:tc>
        <w:tc>
          <w:tcPr>
            <w:tcW w:w="212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2021年（件）</w:t>
            </w:r>
          </w:p>
        </w:tc>
        <w:tc>
          <w:tcPr>
            <w:tcW w:w="2292"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升降率（%）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204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投诉</w:t>
            </w:r>
          </w:p>
        </w:tc>
        <w:tc>
          <w:tcPr>
            <w:tcW w:w="220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371</w:t>
            </w:r>
          </w:p>
        </w:tc>
        <w:tc>
          <w:tcPr>
            <w:tcW w:w="212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457</w:t>
            </w:r>
          </w:p>
        </w:tc>
        <w:tc>
          <w:tcPr>
            <w:tcW w:w="2292"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23.18</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204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举报</w:t>
            </w:r>
          </w:p>
        </w:tc>
        <w:tc>
          <w:tcPr>
            <w:tcW w:w="220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216</w:t>
            </w:r>
          </w:p>
        </w:tc>
        <w:tc>
          <w:tcPr>
            <w:tcW w:w="212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175</w:t>
            </w:r>
          </w:p>
        </w:tc>
        <w:tc>
          <w:tcPr>
            <w:tcW w:w="2292"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18.98</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204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建议</w:t>
            </w:r>
          </w:p>
        </w:tc>
        <w:tc>
          <w:tcPr>
            <w:tcW w:w="220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30</w:t>
            </w:r>
          </w:p>
        </w:tc>
        <w:tc>
          <w:tcPr>
            <w:tcW w:w="212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0</w:t>
            </w:r>
          </w:p>
        </w:tc>
        <w:tc>
          <w:tcPr>
            <w:tcW w:w="2292"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100.00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204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合计</w:t>
            </w:r>
          </w:p>
        </w:tc>
        <w:tc>
          <w:tcPr>
            <w:tcW w:w="220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617</w:t>
            </w:r>
          </w:p>
        </w:tc>
        <w:tc>
          <w:tcPr>
            <w:tcW w:w="212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632</w:t>
            </w:r>
          </w:p>
        </w:tc>
        <w:tc>
          <w:tcPr>
            <w:tcW w:w="2292"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2.43</w:t>
            </w:r>
            <w:r>
              <w:rPr>
                <w:rFonts w:hint="default" w:ascii="仿宋_GB2312" w:hAnsi="宋体" w:eastAsia="仿宋_GB2312" w:cs="仿宋_GB2312"/>
                <w:b w:val="0"/>
                <w:bCs/>
                <w:i w:val="0"/>
                <w:color w:val="000000"/>
                <w:kern w:val="0"/>
                <w:sz w:val="28"/>
                <w:szCs w:val="28"/>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r>
        <w:drawing>
          <wp:anchor distT="0" distB="0" distL="114300" distR="114300" simplePos="0" relativeHeight="251660288" behindDoc="1" locked="0" layoutInCell="1" allowOverlap="1">
            <wp:simplePos x="0" y="0"/>
            <wp:positionH relativeFrom="column">
              <wp:posOffset>1905</wp:posOffset>
            </wp:positionH>
            <wp:positionV relativeFrom="paragraph">
              <wp:posOffset>304800</wp:posOffset>
            </wp:positionV>
            <wp:extent cx="5516245" cy="3382645"/>
            <wp:effectExtent l="4445" t="4445" r="11430" b="41910"/>
            <wp:wrapNone/>
            <wp:docPr id="4" name="图表 3"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二、投诉受理调处情况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受理投诉457件，其中商品类投诉247件，服务类投诉210件，占整体投诉举报量的72.31%。</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仿宋_GB2312" w:hAnsi="仿宋_GB2312" w:eastAsia="仿宋_GB2312" w:cs="仿宋_GB2312"/>
          <w:sz w:val="32"/>
          <w:szCs w:val="32"/>
          <w:lang w:val="en-US" w:eastAsia="zh-CN"/>
        </w:rPr>
      </w:pPr>
      <w:r>
        <w:drawing>
          <wp:anchor distT="0" distB="0" distL="114300" distR="114300" simplePos="0" relativeHeight="251660288" behindDoc="1" locked="0" layoutInCell="1" allowOverlap="1">
            <wp:simplePos x="0" y="0"/>
            <wp:positionH relativeFrom="column">
              <wp:posOffset>16510</wp:posOffset>
            </wp:positionH>
            <wp:positionV relativeFrom="paragraph">
              <wp:posOffset>-21590</wp:posOffset>
            </wp:positionV>
            <wp:extent cx="5659120" cy="3330575"/>
            <wp:effectExtent l="0" t="0" r="10160" b="37465"/>
            <wp:wrapNone/>
            <wp:docPr id="6" name="图表 5"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商品类投诉量排在前五位的依次为食品、交通工具、服装鞋帽、家用电器、房屋（见表二）。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2020年与2021年投诉商品类情况对照表（表二）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184"/>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2020年</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2021年</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升降率（%）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食    品</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33</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78</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136.36</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交通工具</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25</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32</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28.00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服装鞋帽</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28</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Arial" w:hAnsi="Arial" w:eastAsia="宋体" w:cs="Arial"/>
                <w:i w:val="0"/>
                <w:color w:val="000000"/>
                <w:kern w:val="2"/>
                <w:sz w:val="24"/>
                <w:szCs w:val="24"/>
                <w:u w:val="none"/>
                <w:lang w:val="en-US" w:eastAsia="zh-CN" w:bidi="ar-SA"/>
              </w:rPr>
            </w:pPr>
            <w:r>
              <w:rPr>
                <w:rFonts w:hint="eastAsia" w:ascii="仿宋_GB2312" w:hAnsi="宋体" w:eastAsia="仿宋_GB2312" w:cs="仿宋_GB2312"/>
                <w:b w:val="0"/>
                <w:bCs/>
                <w:i w:val="0"/>
                <w:color w:val="000000"/>
                <w:kern w:val="0"/>
                <w:sz w:val="28"/>
                <w:szCs w:val="28"/>
                <w:u w:val="none"/>
                <w:lang w:val="en-US" w:eastAsia="zh-CN" w:bidi="ar"/>
              </w:rPr>
              <w:t>40.00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家具用品</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14</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20</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Arial" w:hAnsi="Arial" w:eastAsia="宋体" w:cs="Arial"/>
                <w:i w:val="0"/>
                <w:color w:val="000000"/>
                <w:kern w:val="2"/>
                <w:sz w:val="24"/>
                <w:szCs w:val="24"/>
                <w:u w:val="none"/>
                <w:lang w:val="en-US" w:eastAsia="zh-CN" w:bidi="ar-SA"/>
              </w:rPr>
            </w:pPr>
            <w:r>
              <w:rPr>
                <w:rFonts w:hint="eastAsia" w:ascii="仿宋_GB2312" w:hAnsi="宋体" w:eastAsia="仿宋_GB2312" w:cs="仿宋_GB2312"/>
                <w:b w:val="0"/>
                <w:bCs/>
                <w:i w:val="0"/>
                <w:color w:val="000000"/>
                <w:kern w:val="0"/>
                <w:sz w:val="28"/>
                <w:szCs w:val="28"/>
                <w:u w:val="none"/>
                <w:lang w:val="en-US" w:eastAsia="zh-CN" w:bidi="ar"/>
              </w:rPr>
              <w:t>42.86</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9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房    屋</w:t>
            </w:r>
          </w:p>
        </w:tc>
        <w:tc>
          <w:tcPr>
            <w:tcW w:w="218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11</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12</w:t>
            </w:r>
          </w:p>
        </w:tc>
        <w:tc>
          <w:tcPr>
            <w:tcW w:w="2220"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9.10</w:t>
            </w:r>
            <w:r>
              <w:rPr>
                <w:rFonts w:hint="default" w:ascii="仿宋_GB2312" w:hAnsi="宋体" w:eastAsia="仿宋_GB2312" w:cs="仿宋_GB2312"/>
                <w:b w:val="0"/>
                <w:bCs/>
                <w:i w:val="0"/>
                <w:color w:val="000000"/>
                <w:kern w:val="0"/>
                <w:sz w:val="28"/>
                <w:szCs w:val="28"/>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r>
        <w:drawing>
          <wp:anchor distT="0" distB="0" distL="114300" distR="114300" simplePos="0" relativeHeight="251660288" behindDoc="1" locked="0" layoutInCell="1" allowOverlap="1">
            <wp:simplePos x="0" y="0"/>
            <wp:positionH relativeFrom="column">
              <wp:posOffset>-26035</wp:posOffset>
            </wp:positionH>
            <wp:positionV relativeFrom="paragraph">
              <wp:posOffset>270510</wp:posOffset>
            </wp:positionV>
            <wp:extent cx="5614670" cy="3105150"/>
            <wp:effectExtent l="4445" t="4445" r="19685" b="14605"/>
            <wp:wrapNone/>
            <wp:docPr id="2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FF33C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服务类投诉量排在前五位的依次为餐饮和住宿服务、售后服务、邮政服务、物业服务、美容美发洗浴服务（见表三）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2020年与2021年投诉服务类情况对照表（表三）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085"/>
        <w:gridCol w:w="19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2020年</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2021年</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升降率（%）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餐饮和住宿服务</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35</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56</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60.00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电 信 服 务</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8</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23</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187.50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专业技术服务</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9</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22</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144.44</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物 业 服 务</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11</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13</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18.18</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81"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销 售 服 务</w:t>
            </w:r>
          </w:p>
        </w:tc>
        <w:tc>
          <w:tcPr>
            <w:tcW w:w="2085"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31</w:t>
            </w:r>
          </w:p>
        </w:tc>
        <w:tc>
          <w:tcPr>
            <w:tcW w:w="1944" w:type="dxa"/>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12</w:t>
            </w:r>
          </w:p>
        </w:tc>
        <w:tc>
          <w:tcPr>
            <w:tcW w:w="2268" w:type="dxa"/>
            <w:noWrap w:val="0"/>
            <w:vAlign w:val="center"/>
          </w:tcPr>
          <w:p>
            <w:pPr>
              <w:keepNext w:val="0"/>
              <w:keepLines w:val="0"/>
              <w:pageBreakBefore w:val="0"/>
              <w:widowControl/>
              <w:suppressLineNumbers w:val="0"/>
              <w:kinsoku/>
              <w:wordWrap/>
              <w:overflowPunct/>
              <w:topLinePunct w:val="0"/>
              <w:bidi w:val="0"/>
              <w:spacing w:line="600" w:lineRule="exact"/>
              <w:ind w:firstLine="560" w:firstLineChars="200"/>
              <w:jc w:val="center"/>
              <w:textAlignment w:val="center"/>
              <w:rPr>
                <w:rFonts w:hint="eastAsia" w:ascii="Arial" w:hAnsi="Arial" w:eastAsia="宋体" w:cs="Arial"/>
                <w:i w:val="0"/>
                <w:color w:val="000000"/>
                <w:kern w:val="2"/>
                <w:sz w:val="24"/>
                <w:szCs w:val="24"/>
                <w:u w:val="none"/>
                <w:lang w:val="en-US" w:eastAsia="zh-CN" w:bidi="ar-SA"/>
              </w:rPr>
            </w:pPr>
            <w:r>
              <w:rPr>
                <w:rFonts w:hint="eastAsia" w:ascii="仿宋_GB2312" w:hAnsi="宋体" w:eastAsia="仿宋_GB2312" w:cs="仿宋_GB2312"/>
                <w:b w:val="0"/>
                <w:bCs/>
                <w:i w:val="0"/>
                <w:color w:val="000000"/>
                <w:kern w:val="0"/>
                <w:sz w:val="28"/>
                <w:szCs w:val="28"/>
                <w:u w:val="none"/>
                <w:lang w:val="en-US" w:eastAsia="zh-CN" w:bidi="ar"/>
              </w:rPr>
              <w:t>61.29</w:t>
            </w:r>
            <w:r>
              <w:rPr>
                <w:rFonts w:hint="default" w:ascii="仿宋_GB2312" w:hAnsi="宋体" w:eastAsia="仿宋_GB2312" w:cs="仿宋_GB2312"/>
                <w:b w:val="0"/>
                <w:bCs/>
                <w:i w:val="0"/>
                <w:color w:val="000000"/>
                <w:kern w:val="0"/>
                <w:sz w:val="28"/>
                <w:szCs w:val="28"/>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drawing>
          <wp:anchor distT="0" distB="0" distL="114300" distR="114300" simplePos="0" relativeHeight="251660288" behindDoc="1" locked="0" layoutInCell="1" allowOverlap="1">
            <wp:simplePos x="0" y="0"/>
            <wp:positionH relativeFrom="column">
              <wp:posOffset>-2540</wp:posOffset>
            </wp:positionH>
            <wp:positionV relativeFrom="paragraph">
              <wp:posOffset>88900</wp:posOffset>
            </wp:positionV>
            <wp:extent cx="5622925" cy="2949575"/>
            <wp:effectExtent l="4445" t="5080" r="11430" b="47625"/>
            <wp:wrapNone/>
            <wp:docPr id="25" name="图表 17"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9DC3E6" w:themeColor="accent1" w:themeTint="99"/>
          <w:lang w:val="en-US" w:eastAsia="zh-CN"/>
          <w14:textFill>
            <w14:solidFill>
              <w14:schemeClr w14:val="accent1">
                <w14:lumMod w14:val="60000"/>
                <w14:lumOff w14:val="40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三、举报受理处理情况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受理举报175件，排在前五位的依次为食品违法行为、价格违法行为、侵害消费者权益行为、产品质量违法行为、其他违法行为（见表四）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2020年与2021年举报受理类情况对比表（表四）</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062"/>
        <w:gridCol w:w="206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1459" w:type="pct"/>
            <w:noWrap w:val="0"/>
            <w:vAlign w:val="top"/>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1138" w:type="pct"/>
            <w:noWrap w:val="0"/>
            <w:vAlign w:val="top"/>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2020年</w:t>
            </w:r>
          </w:p>
        </w:tc>
        <w:tc>
          <w:tcPr>
            <w:tcW w:w="1140" w:type="pct"/>
            <w:noWrap w:val="0"/>
            <w:vAlign w:val="top"/>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2021年</w:t>
            </w:r>
          </w:p>
        </w:tc>
        <w:tc>
          <w:tcPr>
            <w:tcW w:w="1261" w:type="pct"/>
            <w:noWrap w:val="0"/>
            <w:vAlign w:val="top"/>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升降率（%）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9"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食品违法行为</w:t>
            </w:r>
          </w:p>
        </w:tc>
        <w:tc>
          <w:tcPr>
            <w:tcW w:w="1138"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57</w:t>
            </w:r>
          </w:p>
        </w:tc>
        <w:tc>
          <w:tcPr>
            <w:tcW w:w="1140"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58</w:t>
            </w:r>
          </w:p>
        </w:tc>
        <w:tc>
          <w:tcPr>
            <w:tcW w:w="1261"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1.75</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9"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价格违法行为</w:t>
            </w:r>
          </w:p>
        </w:tc>
        <w:tc>
          <w:tcPr>
            <w:tcW w:w="1138"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73</w:t>
            </w:r>
          </w:p>
        </w:tc>
        <w:tc>
          <w:tcPr>
            <w:tcW w:w="1140"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30</w:t>
            </w:r>
          </w:p>
        </w:tc>
        <w:tc>
          <w:tcPr>
            <w:tcW w:w="1261"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58.90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9"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侵 权 行 为</w:t>
            </w:r>
          </w:p>
        </w:tc>
        <w:tc>
          <w:tcPr>
            <w:tcW w:w="1138"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7</w:t>
            </w:r>
          </w:p>
        </w:tc>
        <w:tc>
          <w:tcPr>
            <w:tcW w:w="1140"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22</w:t>
            </w:r>
          </w:p>
        </w:tc>
        <w:tc>
          <w:tcPr>
            <w:tcW w:w="1261"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214.29</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9"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产品质量行为</w:t>
            </w:r>
          </w:p>
        </w:tc>
        <w:tc>
          <w:tcPr>
            <w:tcW w:w="1138"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8</w:t>
            </w:r>
          </w:p>
        </w:tc>
        <w:tc>
          <w:tcPr>
            <w:tcW w:w="1140"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14</w:t>
            </w:r>
          </w:p>
        </w:tc>
        <w:tc>
          <w:tcPr>
            <w:tcW w:w="1261"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75.00</w:t>
            </w:r>
            <w:r>
              <w:rPr>
                <w:rFonts w:hint="default" w:ascii="仿宋_GB2312" w:hAnsi="宋体" w:eastAsia="仿宋_GB2312" w:cs="仿宋_GB2312"/>
                <w:b w:val="0"/>
                <w:bCs/>
                <w:i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9"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val="0"/>
                <w:i w:val="0"/>
                <w:color w:val="000000"/>
                <w:kern w:val="0"/>
                <w:sz w:val="28"/>
                <w:szCs w:val="28"/>
                <w:u w:val="none"/>
                <w:lang w:val="en-US" w:eastAsia="zh-CN" w:bidi="ar"/>
              </w:rPr>
            </w:pPr>
            <w:r>
              <w:rPr>
                <w:rFonts w:hint="eastAsia" w:ascii="仿宋_GB2312" w:hAnsi="宋体" w:eastAsia="仿宋_GB2312" w:cs="仿宋_GB2312"/>
                <w:b/>
                <w:bCs w:val="0"/>
                <w:i w:val="0"/>
                <w:color w:val="000000"/>
                <w:kern w:val="0"/>
                <w:sz w:val="28"/>
                <w:szCs w:val="28"/>
                <w:u w:val="none"/>
                <w:lang w:val="en-US" w:eastAsia="zh-CN" w:bidi="ar"/>
              </w:rPr>
              <w:t>其他违法行为</w:t>
            </w:r>
          </w:p>
        </w:tc>
        <w:tc>
          <w:tcPr>
            <w:tcW w:w="1138"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26</w:t>
            </w:r>
          </w:p>
        </w:tc>
        <w:tc>
          <w:tcPr>
            <w:tcW w:w="1140"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14</w:t>
            </w:r>
          </w:p>
        </w:tc>
        <w:tc>
          <w:tcPr>
            <w:tcW w:w="1261" w:type="pct"/>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46.15</w:t>
            </w:r>
            <w:r>
              <w:rPr>
                <w:rFonts w:hint="default" w:ascii="仿宋_GB2312" w:hAnsi="宋体" w:eastAsia="仿宋_GB2312" w:cs="仿宋_GB2312"/>
                <w:b w:val="0"/>
                <w:bCs/>
                <w:i w:val="0"/>
                <w:color w:val="000000"/>
                <w:kern w:val="0"/>
                <w:sz w:val="28"/>
                <w:szCs w:val="28"/>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黑体" w:hAnsi="黑体" w:eastAsia="黑体" w:cs="黑体"/>
          <w:sz w:val="32"/>
          <w:szCs w:val="32"/>
          <w:lang w:val="en-US" w:eastAsia="zh-CN"/>
        </w:rPr>
      </w:pPr>
      <w:r>
        <w:drawing>
          <wp:anchor distT="0" distB="0" distL="114300" distR="114300" simplePos="0" relativeHeight="251660288" behindDoc="1" locked="0" layoutInCell="1" allowOverlap="1">
            <wp:simplePos x="0" y="0"/>
            <wp:positionH relativeFrom="column">
              <wp:posOffset>-21590</wp:posOffset>
            </wp:positionH>
            <wp:positionV relativeFrom="paragraph">
              <wp:posOffset>41910</wp:posOffset>
            </wp:positionV>
            <wp:extent cx="5651500" cy="3496945"/>
            <wp:effectExtent l="4445" t="4445" r="13335" b="49530"/>
            <wp:wrapNone/>
            <wp:docPr id="20" name="图表 19"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0"/>
          <w:szCs w:val="30"/>
          <w:lang w:val="en-US" w:eastAsia="zh-CN"/>
        </w:rPr>
      </w:pPr>
      <w:r>
        <w:rPr>
          <w:rFonts w:hint="eastAsia" w:ascii="黑体" w:hAnsi="黑体" w:eastAsia="黑体" w:cs="黑体"/>
          <w:sz w:val="32"/>
          <w:szCs w:val="32"/>
          <w:lang w:val="en-US" w:eastAsia="zh-CN"/>
        </w:rPr>
        <w:t>四、相关股室、各所（分局）处理情况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2021年全县受理处理件数表（表五）</w:t>
      </w:r>
    </w:p>
    <w:tbl>
      <w:tblPr>
        <w:tblStyle w:val="3"/>
        <w:tblW w:w="49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547"/>
        <w:gridCol w:w="1116"/>
        <w:gridCol w:w="948"/>
        <w:gridCol w:w="876"/>
        <w:gridCol w:w="864"/>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受理处理单位</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投诉</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举报</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立案</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合计</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会师分局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执法大队(食品)</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当场处罚6件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消保股</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会师镇食药所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执法大队（药品）</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郭城工商质监所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河畔工商质监所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价竟股</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郭城驿镇食药所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甘沟工商质监所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柴家门镇食药所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四房吴镇食药所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新庄食药所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大沟镇食药所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河畔镇食药所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头寨子镇食药所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刘寨工商质监所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甘沟驿镇食药所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翟所工商质监所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特设股</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白草塬镇食药所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刘寨镇食药所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平头川镇食药所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韩家集镇食药所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侯家川镇食药所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翟家所镇食药所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新塬镇食药所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丁沟镇食药所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太平店镇食药所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杨崖集镇食药所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新添堡乡食药所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土门岘镇食药所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土高山乡食药所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中川镇食药所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老君坡镇食药所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汉家岔镇食药所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党家岘乡食药所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草滩镇食药所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八里湾乡食药所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老君坡镇食药所</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457</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632</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五、综合分析</w:t>
      </w:r>
    </w:p>
    <w:p>
      <w:pPr>
        <w:keepNext w:val="0"/>
        <w:keepLines w:val="0"/>
        <w:pageBreakBefore w:val="0"/>
        <w:numPr>
          <w:ilvl w:val="0"/>
          <w:numId w:val="0"/>
        </w:numPr>
        <w:kinsoku/>
        <w:wordWrap/>
        <w:overflowPunct/>
        <w:topLinePunct w:val="0"/>
        <w:bidi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综合分析2021年全年消费者投诉举报情况，问题比较突出的行业和现象是：</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(一)食品安全隐患。</w:t>
      </w:r>
      <w:r>
        <w:rPr>
          <w:rFonts w:hint="eastAsia" w:ascii="仿宋_GB2312" w:hAnsi="仿宋_GB2312" w:eastAsia="仿宋_GB2312" w:cs="仿宋_GB2312"/>
          <w:sz w:val="32"/>
          <w:szCs w:val="32"/>
          <w:lang w:val="en-US" w:eastAsia="zh-CN"/>
        </w:rPr>
        <w:t>主要问题有：一是食品的标签问题，商品配料表中的成分在营养成分表中未标注；二是食品卫生问题，饭菜中发现有苍蝇、头发、等异物;三是食品过期或质量问题，食用后身体出现明显的不适感;四是存在虚假宣传的问题，销售食品时宣传有治疗、増强免疫力等功效。（食品类投诉基本是投诉人要求按食品安全法赔偿）</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(二)服装鞋帽。</w:t>
      </w:r>
      <w:r>
        <w:rPr>
          <w:rFonts w:hint="eastAsia" w:ascii="仿宋_GB2312" w:hAnsi="仿宋_GB2312" w:eastAsia="仿宋_GB2312" w:cs="仿宋_GB2312"/>
          <w:sz w:val="32"/>
          <w:szCs w:val="32"/>
          <w:lang w:val="en-US" w:eastAsia="zh-CN"/>
        </w:rPr>
        <w:t>投诉热点仍是商品存在质量问题，商家不按规定进行退换货。主要问题有:一是产品本身的质量问题，面料起球、洗涤后褪色、变形，鞋类开胶断底等;二是利用预付费（卡）形式侵害消费者权益，会员卡金额没有消费完，商家店铺转让无法消费且不退还剩余金额或强制消费；三是商家拒绝执行新《消法》“七日无理由退货”规定，“三包”服务承诺不明确或不履行“三包”义务等。</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(三)交通工具。</w:t>
      </w:r>
      <w:r>
        <w:rPr>
          <w:rFonts w:hint="eastAsia" w:ascii="仿宋_GB2312" w:hAnsi="仿宋_GB2312" w:eastAsia="仿宋_GB2312" w:cs="仿宋_GB2312"/>
          <w:sz w:val="32"/>
          <w:szCs w:val="32"/>
          <w:lang w:val="en-US" w:eastAsia="zh-CN"/>
        </w:rPr>
        <w:t>投诉问题主要集中在:一是消费者在交付定金并签订合同后，商家不能按约定时间交付所定车辆；二是销售过程中强制搭售保险、承诺补贴或政策补贴不兑现，续保押金到期后商家以各种理由拖延退款，强制消费者在店内购买保险等;三是汽车维修费用高，部分维修店内无具体维修价目表;四是三包期内车辆在行驶过程中无法自动落锁、油棒等质量问题，商家拖延维修等。</w:t>
      </w:r>
    </w:p>
    <w:p>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(四)家居用品。</w:t>
      </w:r>
      <w:r>
        <w:rPr>
          <w:rFonts w:hint="eastAsia" w:ascii="仿宋_GB2312" w:hAnsi="仿宋_GB2312" w:eastAsia="仿宋_GB2312" w:cs="仿宋_GB2312"/>
          <w:sz w:val="32"/>
          <w:szCs w:val="32"/>
        </w:rPr>
        <w:t>以家具、厨房用品为主，主要问题有:产品的环保等要求不达标，气味大;订购餐具大小不符;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期内商家不履行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义务;订制的产品没有达到约定要求不子退换货;交付订金后不予退订金;产品质量存在以次充好、假冒知名商标;欺骗诱导老年人消费等行为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(五)装修建材。</w:t>
      </w:r>
      <w:r>
        <w:rPr>
          <w:rFonts w:hint="eastAsia" w:ascii="仿宋_GB2312" w:hAnsi="仿宋_GB2312" w:eastAsia="仿宋_GB2312" w:cs="仿宋_GB2312"/>
          <w:sz w:val="32"/>
          <w:szCs w:val="32"/>
        </w:rPr>
        <w:t>投诉的主要问题涉及:一是送货安装方面，如签订装修合同未按约定时间交工，商家不履行“三包”义务、拖延送货、安装额外收取费用、退货时加收不合理费用等;二是装修合同引起的纠纷，如装修公司不按约定履行合同不退定金等;三是家具、建材及装修质量方面，如门窗、地板等材料变形、开裂或材质与承诺不符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(六)房屋销售。</w:t>
      </w:r>
      <w:r>
        <w:rPr>
          <w:rFonts w:hint="eastAsia" w:ascii="仿宋_GB2312" w:hAnsi="仿宋_GB2312" w:eastAsia="仿宋_GB2312" w:cs="仿宋_GB2312"/>
          <w:sz w:val="32"/>
          <w:szCs w:val="32"/>
          <w:lang w:eastAsia="zh-CN"/>
        </w:rPr>
        <w:t>消费者投诉的主要问题有:一是交付订金后商家不按时交付房屋;二是商家承诺可以公积金贷款，全款付款可打折等，实际不能兑现承诺;三是与中介签订合同后无法办理其他后续手续;四是预付费后由于客观原因要求退费退款难。</w:t>
      </w:r>
    </w:p>
    <w:p>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(七)住宿服务。</w:t>
      </w:r>
      <w:r>
        <w:rPr>
          <w:rFonts w:hint="eastAsia" w:ascii="仿宋_GB2312" w:hAnsi="仿宋_GB2312" w:eastAsia="仿宋_GB2312" w:cs="仿宋_GB2312"/>
          <w:sz w:val="32"/>
          <w:szCs w:val="32"/>
          <w:lang w:eastAsia="zh-CN"/>
        </w:rPr>
        <w:t>主要问题有:一是商家未告知消费者相关收费标准和项目，使消费者被动消费、额外消费;二是商家未对其场所内存在安全隐患的位置做出醒目提醒和保护措施，未尽到保护消费者安全的义务，使消费者安全受到侵害;三是商家的服务态度恶劣，消费者不满意等。</w:t>
      </w:r>
    </w:p>
    <w:p>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(八)价格及物业服务。</w:t>
      </w:r>
      <w:r>
        <w:rPr>
          <w:rFonts w:hint="eastAsia" w:ascii="仿宋_GB2312" w:hAnsi="仿宋_GB2312" w:eastAsia="仿宋_GB2312" w:cs="仿宋_GB2312"/>
          <w:sz w:val="32"/>
          <w:szCs w:val="32"/>
          <w:lang w:eastAsia="zh-CN"/>
        </w:rPr>
        <w:t>主要反映的问题是:一是疫情期间物价涨幅大，部分店铺的部分商品未明码标价问题；二是</w:t>
      </w:r>
      <w:r>
        <w:rPr>
          <w:rFonts w:hint="eastAsia" w:ascii="仿宋_GB2312" w:hAnsi="仿宋_GB2312" w:eastAsia="仿宋_GB2312" w:cs="仿宋_GB2312"/>
          <w:sz w:val="32"/>
          <w:szCs w:val="32"/>
          <w:lang w:val="en-US" w:eastAsia="zh-CN"/>
        </w:rPr>
        <w:t>停车收费未明码标价且不符合物价收费标准。</w:t>
      </w:r>
      <w:r>
        <w:rPr>
          <w:rFonts w:hint="eastAsia" w:ascii="仿宋_GB2312" w:hAnsi="仿宋_GB2312" w:eastAsia="仿宋_GB2312" w:cs="仿宋_GB2312"/>
          <w:sz w:val="32"/>
          <w:szCs w:val="32"/>
          <w:lang w:eastAsia="zh-CN"/>
        </w:rPr>
        <w:t>三是商家无法出具收费依据，乱收费、变相收费;四是强制购买或搭售其他商品;五是电梯长时间停运、卡顿等现象。</w:t>
      </w:r>
    </w:p>
    <w:p>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(九)侵害消费者权益举报方面。</w:t>
      </w:r>
      <w:r>
        <w:rPr>
          <w:rFonts w:hint="eastAsia" w:ascii="仿宋_GB2312" w:hAnsi="仿宋_GB2312" w:eastAsia="仿宋_GB2312" w:cs="仿宋_GB2312"/>
          <w:sz w:val="32"/>
          <w:szCs w:val="32"/>
          <w:lang w:eastAsia="zh-CN"/>
        </w:rPr>
        <w:t>主要涉及以下几个方面：</w:t>
      </w:r>
    </w:p>
    <w:p>
      <w:pPr>
        <w:keepNext w:val="0"/>
        <w:keepLines w:val="0"/>
        <w:pageBreakBefore w:val="0"/>
        <w:kinsoku/>
        <w:wordWrap/>
        <w:overflowPunct/>
        <w:topLinePunct w:val="0"/>
        <w:bidi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一是生产、销售不符合保障人身、财产安全的商品;二是在产品中掺杂、掺假、以次充好，以及“三无”产品。</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(十)预付费及其他方面</w:t>
      </w:r>
      <w:r>
        <w:rPr>
          <w:rFonts w:hint="eastAsia" w:ascii="仿宋_GB2312" w:hAnsi="仿宋_GB2312" w:eastAsia="仿宋_GB2312" w:cs="仿宋_GB2312"/>
          <w:sz w:val="32"/>
          <w:szCs w:val="32"/>
          <w:lang w:val="en-US" w:eastAsia="zh-CN"/>
        </w:rPr>
        <w:t>：预付费方面：一</w:t>
      </w:r>
      <w:r>
        <w:rPr>
          <w:rFonts w:hint="eastAsia" w:ascii="仿宋_GB2312" w:hAnsi="仿宋_GB2312" w:eastAsia="仿宋_GB2312" w:cs="仿宋_GB2312"/>
          <w:sz w:val="32"/>
          <w:szCs w:val="32"/>
          <w:lang w:eastAsia="zh-CN"/>
        </w:rPr>
        <w:t>是商店突然关闭致使预付卡券无法使用，且联系不上商家;二是商家不退卡内余额，强制消费者提前消费。其他方面：</w:t>
      </w:r>
      <w:r>
        <w:rPr>
          <w:rFonts w:hint="eastAsia" w:ascii="仿宋_GB2312" w:hAnsi="仿宋_GB2312" w:eastAsia="仿宋_GB2312" w:cs="仿宋_GB2312"/>
          <w:sz w:val="32"/>
          <w:szCs w:val="32"/>
          <w:lang w:val="en-US" w:eastAsia="zh-CN"/>
        </w:rPr>
        <w:t>一是投诉举报不属于市场监督管理局职责范围内的；二是投诉举报人所投诉举报的事项不清楚，无法调查处理。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六、相关工作要求</w:t>
      </w:r>
    </w:p>
    <w:p>
      <w:pPr>
        <w:keepNext w:val="0"/>
        <w:keepLines w:val="0"/>
        <w:pageBreakBefore w:val="0"/>
        <w:numPr>
          <w:ilvl w:val="0"/>
          <w:numId w:val="0"/>
        </w:numPr>
        <w:kinsoku/>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结合当前形势，针对重点行业、重点商品和服务，有针对性的加大监管力度，切实保障消费者合法权益，维护良好营商环境，更好服务人民日益增长的美好生活需要。</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（一）强化时效，及时调处消费纠纷。</w:t>
      </w:r>
      <w:r>
        <w:rPr>
          <w:rFonts w:hint="eastAsia" w:ascii="仿宋_GB2312" w:hAnsi="仿宋_GB2312" w:eastAsia="仿宋_GB2312" w:cs="仿宋_GB2312"/>
          <w:sz w:val="32"/>
          <w:szCs w:val="32"/>
          <w:lang w:val="en-US" w:eastAsia="zh-CN"/>
        </w:rPr>
        <w:t>各单位要严格落实12315工作规则，及时分派调处各类案件，确保七个工作日的调处时限在处理结束后及时上报处理单，加强法定节假日的值班和消费维权工作突发事件处理机制。重视自行受理案件的录入，努力把消费纠纷化解在基层、和解在企业，解决在源头。</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（二）树立典型，全面开展放心消费创建工作。</w:t>
      </w:r>
      <w:r>
        <w:rPr>
          <w:rFonts w:hint="eastAsia" w:ascii="仿宋_GB2312" w:hAnsi="仿宋_GB2312" w:eastAsia="仿宋_GB2312" w:cs="仿宋_GB2312"/>
          <w:sz w:val="32"/>
          <w:szCs w:val="32"/>
          <w:lang w:val="en-US" w:eastAsia="zh-CN"/>
        </w:rPr>
        <w:t>根据《关于开展“放心消费承诺活动”的通知》（白市监发</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118号）的文件要求，全面开展放心消费承诺活动，在全县继续发展一批放心消费承诺单位，持续优化营商环境，保护消费者合法权益，促进消费升级。</w:t>
      </w:r>
    </w:p>
    <w:p>
      <w:pPr>
        <w:keepNext w:val="0"/>
        <w:keepLines w:val="0"/>
        <w:pageBreakBefore w:val="0"/>
        <w:numPr>
          <w:ilvl w:val="0"/>
          <w:numId w:val="0"/>
        </w:numPr>
        <w:kinsoku/>
        <w:wordWrap/>
        <w:overflowPunct/>
        <w:topLinePunct w:val="0"/>
        <w:bidi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（三）加强执法，确保消费者权益保护工作落实到位。</w:t>
      </w:r>
      <w:r>
        <w:rPr>
          <w:rFonts w:hint="eastAsia" w:ascii="仿宋_GB2312" w:hAnsi="仿宋_GB2312" w:eastAsia="仿宋_GB2312" w:cs="仿宋_GB2312"/>
          <w:sz w:val="32"/>
          <w:szCs w:val="32"/>
          <w:lang w:val="en-US" w:eastAsia="zh-CN"/>
        </w:rPr>
        <w:t>认真依法依规受理处理消费者咨询、投诉和举报，规范调解程序，加大举报的立案和诉转案的查处力度，努力做到有案必查，件件有回音，案案有落实。</w:t>
      </w:r>
    </w:p>
    <w:p>
      <w:pPr>
        <w:keepNext w:val="0"/>
        <w:keepLines w:val="0"/>
        <w:pageBreakBefore w:val="0"/>
        <w:kinsoku/>
        <w:wordWrap/>
        <w:overflowPunct/>
        <w:topLinePunct w:val="0"/>
        <w:autoSpaceDE w:val="0"/>
        <w:autoSpaceDN w:val="0"/>
        <w:bidi w:val="0"/>
        <w:adjustRightInd w:val="0"/>
        <w:snapToGrid w:val="0"/>
        <w:spacing w:line="600" w:lineRule="exact"/>
        <w:rPr>
          <w:rFonts w:hint="eastAsia" w:ascii="仿宋_GB2312" w:hAnsi="Times New Roman" w:eastAsia="仿宋_GB2312" w:cs="宋体"/>
          <w:kern w:val="0"/>
          <w:sz w:val="32"/>
          <w:szCs w:val="32"/>
        </w:rPr>
      </w:pPr>
    </w:p>
    <w:p>
      <w:pPr>
        <w:keepNext w:val="0"/>
        <w:keepLines w:val="0"/>
        <w:pageBreakBefore w:val="0"/>
        <w:kinsoku/>
        <w:wordWrap/>
        <w:overflowPunct/>
        <w:topLinePunct w:val="0"/>
        <w:autoSpaceDE w:val="0"/>
        <w:autoSpaceDN w:val="0"/>
        <w:bidi w:val="0"/>
        <w:adjustRightInd w:val="0"/>
        <w:snapToGrid w:val="0"/>
        <w:spacing w:line="600" w:lineRule="exact"/>
        <w:ind w:firstLine="5120" w:firstLineChars="1600"/>
        <w:rPr>
          <w:rFonts w:hint="eastAsia" w:ascii="仿宋_GB2312" w:hAnsi="Times New Roman" w:eastAsia="仿宋_GB2312" w:cs="宋体"/>
          <w:snapToGrid w:val="0"/>
          <w:kern w:val="0"/>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600" w:lineRule="exact"/>
        <w:ind w:firstLine="5120" w:firstLineChars="1600"/>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ascii="仿宋_GB2312" w:hAnsi="Times New Roman" w:eastAsia="仿宋_GB2312" w:cs="宋体"/>
          <w:snapToGrid w:val="0"/>
          <w:kern w:val="0"/>
          <w:sz w:val="32"/>
          <w:szCs w:val="32"/>
        </w:rPr>
      </w:pPr>
    </w:p>
    <w:p>
      <w:pPr>
        <w:autoSpaceDE w:val="0"/>
        <w:autoSpaceDN w:val="0"/>
        <w:adjustRightInd w:val="0"/>
        <w:snapToGrid w:val="0"/>
        <w:spacing w:line="600" w:lineRule="exact"/>
        <w:rPr>
          <w:rFonts w:hint="eastAsia" w:eastAsia="宋体"/>
          <w:lang w:eastAsia="zh-CN"/>
        </w:rPr>
      </w:pPr>
      <w:r>
        <w:rPr>
          <w:rFonts w:hint="eastAsia" w:ascii="仿宋_GB2312" w:eastAsia="仿宋_GB2312" w:cs="宋体"/>
          <w:snapToGrid w:val="0"/>
          <w:kern w:val="0"/>
          <w:sz w:val="32"/>
          <w:szCs w:val="32"/>
          <w:lang w:eastAsia="zh-CN"/>
        </w:rPr>
        <w:t>、</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1828800"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559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4.2pt;height:21.7pt;width:144pt;mso-position-horizontal:outside;mso-position-horizontal-relative:margin;mso-wrap-style:none;z-index:251659264;mso-width-relative:page;mso-height-relative:page;" filled="f" stroked="f" coordsize="21600,21600" o:gfxdata="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YoYV7UAAAABgEAAA8AAAAAAAAAAQAgAAAAIgAAAGRycy9kb3ducmV2LnhtbFBL&#10;AQIUABQAAAAIAIdO4kBk7HvJwQEAAH4DAAAOAAAAAAAAAAEAIAAAACMBAABkcnMvZTJvRG9jLnht&#10;bFBLBQYAAAAABgAGAFkBAABWBQAAAAA=&#10;">
              <v:fill on="f" focussize="0,0"/>
              <v:stroke on="f"/>
              <v:imagedata o:title=""/>
              <o:lock v:ext="edit" aspectratio="f"/>
              <v:textbox inset="0mm,0mm,0mm,0mm">
                <w:txbxContent>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p>
    <w:pPr>
      <w:pStyle w:val="2"/>
      <w:tabs>
        <w:tab w:val="clear" w:pos="4153"/>
      </w:tabs>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7208"/>
    <w:rsid w:val="006B14F4"/>
    <w:rsid w:val="006B6D1F"/>
    <w:rsid w:val="01AD5116"/>
    <w:rsid w:val="01EE19B6"/>
    <w:rsid w:val="02F17256"/>
    <w:rsid w:val="03152088"/>
    <w:rsid w:val="04602913"/>
    <w:rsid w:val="04CB2483"/>
    <w:rsid w:val="054715CB"/>
    <w:rsid w:val="05832D5D"/>
    <w:rsid w:val="05B864A9"/>
    <w:rsid w:val="072D2F81"/>
    <w:rsid w:val="07750484"/>
    <w:rsid w:val="080F6B2A"/>
    <w:rsid w:val="08122176"/>
    <w:rsid w:val="0825634E"/>
    <w:rsid w:val="09000221"/>
    <w:rsid w:val="095347F5"/>
    <w:rsid w:val="095569E0"/>
    <w:rsid w:val="09F5019B"/>
    <w:rsid w:val="0A7F2BA0"/>
    <w:rsid w:val="0AA23C86"/>
    <w:rsid w:val="0AB17370"/>
    <w:rsid w:val="0D640A23"/>
    <w:rsid w:val="0E4312DC"/>
    <w:rsid w:val="0E5A59B2"/>
    <w:rsid w:val="0ED10695"/>
    <w:rsid w:val="0F3F502D"/>
    <w:rsid w:val="0F5D017B"/>
    <w:rsid w:val="102F1486"/>
    <w:rsid w:val="10540918"/>
    <w:rsid w:val="127F64EC"/>
    <w:rsid w:val="12942106"/>
    <w:rsid w:val="129B31AF"/>
    <w:rsid w:val="13E250F3"/>
    <w:rsid w:val="14FE7D0A"/>
    <w:rsid w:val="15812E6D"/>
    <w:rsid w:val="16726C02"/>
    <w:rsid w:val="168A0688"/>
    <w:rsid w:val="178A3F42"/>
    <w:rsid w:val="179C380B"/>
    <w:rsid w:val="17CE0CD4"/>
    <w:rsid w:val="197D2114"/>
    <w:rsid w:val="1AEE0821"/>
    <w:rsid w:val="1B2B4766"/>
    <w:rsid w:val="1B742AD4"/>
    <w:rsid w:val="1BCD0437"/>
    <w:rsid w:val="1C5147E4"/>
    <w:rsid w:val="1D9C6312"/>
    <w:rsid w:val="1E3554A9"/>
    <w:rsid w:val="208927BA"/>
    <w:rsid w:val="20ED59A6"/>
    <w:rsid w:val="211C7E96"/>
    <w:rsid w:val="21F66939"/>
    <w:rsid w:val="22034BB2"/>
    <w:rsid w:val="22D0247C"/>
    <w:rsid w:val="23126441"/>
    <w:rsid w:val="235651B5"/>
    <w:rsid w:val="236773C3"/>
    <w:rsid w:val="23DA7B95"/>
    <w:rsid w:val="23EB7FF4"/>
    <w:rsid w:val="24303C58"/>
    <w:rsid w:val="24BB1774"/>
    <w:rsid w:val="25180974"/>
    <w:rsid w:val="25777D91"/>
    <w:rsid w:val="25DC7BF4"/>
    <w:rsid w:val="28CD2983"/>
    <w:rsid w:val="29095FDB"/>
    <w:rsid w:val="29471828"/>
    <w:rsid w:val="29A273A6"/>
    <w:rsid w:val="2BB03572"/>
    <w:rsid w:val="2BB05DAB"/>
    <w:rsid w:val="2BFE5893"/>
    <w:rsid w:val="2C0B028E"/>
    <w:rsid w:val="2DB80F46"/>
    <w:rsid w:val="2E2A34C6"/>
    <w:rsid w:val="2E50117F"/>
    <w:rsid w:val="2E9A064C"/>
    <w:rsid w:val="2EE87609"/>
    <w:rsid w:val="2FF007D4"/>
    <w:rsid w:val="30963095"/>
    <w:rsid w:val="30C145B6"/>
    <w:rsid w:val="30F46739"/>
    <w:rsid w:val="312608BD"/>
    <w:rsid w:val="313E5C07"/>
    <w:rsid w:val="319F585E"/>
    <w:rsid w:val="31FC33CC"/>
    <w:rsid w:val="322A22F4"/>
    <w:rsid w:val="336D27D3"/>
    <w:rsid w:val="339715FE"/>
    <w:rsid w:val="34BA37F6"/>
    <w:rsid w:val="35D97CAC"/>
    <w:rsid w:val="36CE3589"/>
    <w:rsid w:val="384864BF"/>
    <w:rsid w:val="3A97213B"/>
    <w:rsid w:val="3BE51ED5"/>
    <w:rsid w:val="3C017566"/>
    <w:rsid w:val="3C166AA5"/>
    <w:rsid w:val="3DA07301"/>
    <w:rsid w:val="3DC15A70"/>
    <w:rsid w:val="3DFC6C2D"/>
    <w:rsid w:val="3EE42ED1"/>
    <w:rsid w:val="40730CFD"/>
    <w:rsid w:val="427D40B5"/>
    <w:rsid w:val="432E32DF"/>
    <w:rsid w:val="44E4041B"/>
    <w:rsid w:val="46854412"/>
    <w:rsid w:val="468D7067"/>
    <w:rsid w:val="472D255C"/>
    <w:rsid w:val="4800731A"/>
    <w:rsid w:val="4910005F"/>
    <w:rsid w:val="49A23886"/>
    <w:rsid w:val="4A0F7CE8"/>
    <w:rsid w:val="4A301A0D"/>
    <w:rsid w:val="4B0C247A"/>
    <w:rsid w:val="4B3B0528"/>
    <w:rsid w:val="4CEE62DB"/>
    <w:rsid w:val="4D73233C"/>
    <w:rsid w:val="4D785BA5"/>
    <w:rsid w:val="4E766588"/>
    <w:rsid w:val="50B41C39"/>
    <w:rsid w:val="510B1D67"/>
    <w:rsid w:val="52595FA5"/>
    <w:rsid w:val="52B07B8F"/>
    <w:rsid w:val="53A771E4"/>
    <w:rsid w:val="54CA13DC"/>
    <w:rsid w:val="5729463F"/>
    <w:rsid w:val="5BED39E7"/>
    <w:rsid w:val="5C0E2FD3"/>
    <w:rsid w:val="5C56102E"/>
    <w:rsid w:val="5D6C655C"/>
    <w:rsid w:val="5E3E6996"/>
    <w:rsid w:val="5E99597B"/>
    <w:rsid w:val="5EEB02C2"/>
    <w:rsid w:val="5F334021"/>
    <w:rsid w:val="5FDF3861"/>
    <w:rsid w:val="605F2332"/>
    <w:rsid w:val="609075E2"/>
    <w:rsid w:val="609B1E7E"/>
    <w:rsid w:val="60AC408B"/>
    <w:rsid w:val="62BD60DC"/>
    <w:rsid w:val="634C6D2A"/>
    <w:rsid w:val="634C7460"/>
    <w:rsid w:val="636704EB"/>
    <w:rsid w:val="63B35731"/>
    <w:rsid w:val="63D57455"/>
    <w:rsid w:val="63F33E27"/>
    <w:rsid w:val="642B176B"/>
    <w:rsid w:val="64DF0E21"/>
    <w:rsid w:val="67B70710"/>
    <w:rsid w:val="68A43432"/>
    <w:rsid w:val="68C47A98"/>
    <w:rsid w:val="69205616"/>
    <w:rsid w:val="69946055"/>
    <w:rsid w:val="69C94295"/>
    <w:rsid w:val="69D01A82"/>
    <w:rsid w:val="69E623BC"/>
    <w:rsid w:val="6AD9782B"/>
    <w:rsid w:val="6AF705F9"/>
    <w:rsid w:val="6B9B2D32"/>
    <w:rsid w:val="6BF80185"/>
    <w:rsid w:val="6C6475C8"/>
    <w:rsid w:val="6CCE55B8"/>
    <w:rsid w:val="6E692DFB"/>
    <w:rsid w:val="6EB45FB4"/>
    <w:rsid w:val="6FAD2669"/>
    <w:rsid w:val="70223944"/>
    <w:rsid w:val="70F353BF"/>
    <w:rsid w:val="7249173A"/>
    <w:rsid w:val="73456F57"/>
    <w:rsid w:val="73922EC0"/>
    <w:rsid w:val="74A82061"/>
    <w:rsid w:val="74E25E76"/>
    <w:rsid w:val="755A5A0C"/>
    <w:rsid w:val="75A373B3"/>
    <w:rsid w:val="766E5C13"/>
    <w:rsid w:val="769D3E02"/>
    <w:rsid w:val="77493F8A"/>
    <w:rsid w:val="77882D05"/>
    <w:rsid w:val="786C6182"/>
    <w:rsid w:val="7A016D9E"/>
    <w:rsid w:val="7A2E1215"/>
    <w:rsid w:val="7A825790"/>
    <w:rsid w:val="7CB749C7"/>
    <w:rsid w:val="7D3905FD"/>
    <w:rsid w:val="7E6D5284"/>
    <w:rsid w:val="7F674DEC"/>
    <w:rsid w:val="7F6A7194"/>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0416666666666667"/>
          <c:y val="0.00694444444444444"/>
          <c:w val="0.971527777777778"/>
          <c:h val="0.894305555555556"/>
        </c:manualLayout>
      </c:layout>
      <c:barChart>
        <c:barDir val="col"/>
        <c:grouping val="clustered"/>
        <c:varyColors val="0"/>
        <c:ser>
          <c:idx val="0"/>
          <c:order val="0"/>
          <c:tx>
            <c:strRef>
              <c:f>'[新建 XLS 工作表.xls]Sheet1'!$C$8:$C$11</c:f>
              <c:strCache>
                <c:ptCount val="1"/>
                <c:pt idx="0">
                  <c:v>2020年（件）</c:v>
                </c:pt>
              </c:strCache>
            </c:strRef>
          </c:tx>
          <c:spPr>
            <a:solidFill>
              <a:srgbClr val="365B7C"/>
            </a:solidFill>
            <a:ln w="57150" cmpd="dbl">
              <a:solidFill>
                <a:srgbClr val="365B7C"/>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工作表.xls]Sheet1'!$B$12:$B$15</c:f>
              <c:strCache>
                <c:ptCount val="4"/>
                <c:pt idx="0">
                  <c:v>投诉</c:v>
                </c:pt>
                <c:pt idx="1">
                  <c:v>举报</c:v>
                </c:pt>
                <c:pt idx="2">
                  <c:v>建议</c:v>
                </c:pt>
                <c:pt idx="3">
                  <c:v>合计</c:v>
                </c:pt>
              </c:strCache>
            </c:strRef>
          </c:cat>
          <c:val>
            <c:numRef>
              <c:f>'[新建 XLS 工作表.xls]Sheet1'!$C$12:$C$15</c:f>
              <c:numCache>
                <c:formatCode>General</c:formatCode>
                <c:ptCount val="4"/>
                <c:pt idx="0">
                  <c:v>371</c:v>
                </c:pt>
                <c:pt idx="1">
                  <c:v>216</c:v>
                </c:pt>
                <c:pt idx="2">
                  <c:v>30</c:v>
                </c:pt>
                <c:pt idx="3">
                  <c:v>617</c:v>
                </c:pt>
              </c:numCache>
            </c:numRef>
          </c:val>
        </c:ser>
        <c:ser>
          <c:idx val="1"/>
          <c:order val="1"/>
          <c:tx>
            <c:strRef>
              <c:f>'[新建 XLS 工作表.xls]Sheet1'!$D$8:$D$11</c:f>
              <c:strCache>
                <c:ptCount val="1"/>
                <c:pt idx="0">
                  <c:v>2021年（件）</c:v>
                </c:pt>
              </c:strCache>
            </c:strRef>
          </c:tx>
          <c:spPr>
            <a:solidFill>
              <a:srgbClr val="966480"/>
            </a:solidFill>
            <a:ln w="57150" cmpd="dbl">
              <a:solidFill>
                <a:srgbClr val="966480"/>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工作表.xls]Sheet1'!$B$12:$B$15</c:f>
              <c:strCache>
                <c:ptCount val="4"/>
                <c:pt idx="0">
                  <c:v>投诉</c:v>
                </c:pt>
                <c:pt idx="1">
                  <c:v>举报</c:v>
                </c:pt>
                <c:pt idx="2">
                  <c:v>建议</c:v>
                </c:pt>
                <c:pt idx="3">
                  <c:v>合计</c:v>
                </c:pt>
              </c:strCache>
            </c:strRef>
          </c:cat>
          <c:val>
            <c:numRef>
              <c:f>'[新建 XLS 工作表.xls]Sheet1'!$D$12:$D$15</c:f>
              <c:numCache>
                <c:formatCode>General</c:formatCode>
                <c:ptCount val="4"/>
                <c:pt idx="0">
                  <c:v>457</c:v>
                </c:pt>
                <c:pt idx="1">
                  <c:v>175</c:v>
                </c:pt>
                <c:pt idx="2">
                  <c:v>0</c:v>
                </c:pt>
                <c:pt idx="3">
                  <c:v>632</c:v>
                </c:pt>
              </c:numCache>
            </c:numRef>
          </c:val>
        </c:ser>
        <c:ser>
          <c:idx val="2"/>
          <c:order val="2"/>
          <c:tx>
            <c:strRef>
              <c:f>'[新建 XLS 工作表.xls]Sheet1'!$E$8:$E$11</c:f>
              <c:strCache>
                <c:ptCount val="1"/>
                <c:pt idx="0">
                  <c:v>升降率（%）</c:v>
                </c:pt>
              </c:strCache>
            </c:strRef>
          </c:tx>
          <c:spPr>
            <a:solidFill>
              <a:srgbClr val="D06F83"/>
            </a:solidFill>
            <a:ln w="57150" cmpd="dbl">
              <a:solidFill>
                <a:srgbClr val="D06F83"/>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工作表.xls]Sheet1'!$B$12:$B$15</c:f>
              <c:strCache>
                <c:ptCount val="4"/>
                <c:pt idx="0">
                  <c:v>投诉</c:v>
                </c:pt>
                <c:pt idx="1">
                  <c:v>举报</c:v>
                </c:pt>
                <c:pt idx="2">
                  <c:v>建议</c:v>
                </c:pt>
                <c:pt idx="3">
                  <c:v>合计</c:v>
                </c:pt>
              </c:strCache>
            </c:strRef>
          </c:cat>
          <c:val>
            <c:numRef>
              <c:f>'[新建 XLS 工作表.xls]Sheet1'!$E$12:$E$15</c:f>
              <c:numCache>
                <c:formatCode>General</c:formatCode>
                <c:ptCount val="4"/>
                <c:pt idx="0">
                  <c:v>0</c:v>
                </c:pt>
                <c:pt idx="1">
                  <c:v>0</c:v>
                </c:pt>
                <c:pt idx="2">
                  <c:v>0</c:v>
                </c:pt>
                <c:pt idx="3">
                  <c:v>0</c:v>
                </c:pt>
              </c:numCache>
            </c:numRef>
          </c:val>
        </c:ser>
        <c:dLbls>
          <c:showLegendKey val="0"/>
          <c:showVal val="1"/>
          <c:showCatName val="0"/>
          <c:showSerName val="0"/>
          <c:showPercent val="0"/>
          <c:showBubbleSize val="0"/>
        </c:dLbls>
        <c:gapWidth val="269"/>
        <c:overlap val="-55"/>
        <c:axId val="881506716"/>
        <c:axId val="945097021"/>
      </c:barChart>
      <c:catAx>
        <c:axId val="881506716"/>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945097021"/>
        <c:crosses val="autoZero"/>
        <c:auto val="1"/>
        <c:lblAlgn val="ctr"/>
        <c:lblOffset val="100"/>
        <c:noMultiLvlLbl val="0"/>
      </c:catAx>
      <c:valAx>
        <c:axId val="94509702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8150671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blipFill rotWithShape="1">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65889612255"/>
          <c:y val="0.211675094816688"/>
          <c:w val="0.400959024181846"/>
          <c:h val="0.669068338249754"/>
        </c:manualLayout>
      </c:layout>
      <c:pieChart>
        <c:varyColors val="1"/>
        <c:ser>
          <c:idx val="0"/>
          <c:order val="0"/>
          <c:tx>
            <c:strRef>
              <c:f>'[新建 XLS 工作表.xls]Sheet1'!$D$17:$D$20</c:f>
              <c:strCache>
                <c:ptCount val="1"/>
                <c:pt idx="0">
                  <c:v>2021年（件）</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solidFill>
                  <a:srgbClr val="B1A4FF"/>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 工作表.xls]Sheet1'!$C$21:$C$24</c:f>
              <c:strCache>
                <c:ptCount val="4"/>
                <c:pt idx="0">
                  <c:v>服务类投诉</c:v>
                </c:pt>
                <c:pt idx="1">
                  <c:v>商品类投诉</c:v>
                </c:pt>
                <c:pt idx="2">
                  <c:v>举报</c:v>
                </c:pt>
              </c:strCache>
            </c:strRef>
          </c:cat>
          <c:val>
            <c:numRef>
              <c:f>'[新建 XLS 工作表.xls]Sheet1'!$D$21:$D$24</c:f>
              <c:numCache>
                <c:formatCode>General</c:formatCode>
                <c:ptCount val="4"/>
                <c:pt idx="0">
                  <c:v>210</c:v>
                </c:pt>
                <c:pt idx="1">
                  <c:v>247</c:v>
                </c:pt>
                <c:pt idx="2">
                  <c:v>175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rgbClr val="70AD47">
        <a:lumMod val="20000"/>
        <a:lumOff val="80000"/>
      </a:srgbClr>
    </a:solid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09503010270334"/>
          <c:y val="0.0307658255865427"/>
          <c:w val="0.897107779482942"/>
          <c:h val="0.763258078795927"/>
        </c:manualLayout>
      </c:layout>
      <c:barChart>
        <c:barDir val="col"/>
        <c:grouping val="clustered"/>
        <c:varyColors val="0"/>
        <c:ser>
          <c:idx val="0"/>
          <c:order val="0"/>
          <c:tx>
            <c:strRef>
              <c:f>'[新建 XLS 工作表.xls]Sheet1'!$C$35</c:f>
              <c:strCache>
                <c:ptCount val="1"/>
                <c:pt idx="0">
                  <c:v>2020年</c:v>
                </c:pt>
              </c:strCache>
            </c:strRef>
          </c:tx>
          <c:spPr>
            <a:solidFill>
              <a:schemeClr val="accent1"/>
            </a:solidFill>
            <a:ln>
              <a:noFill/>
            </a:ln>
            <a:effectLst/>
          </c:spPr>
          <c:invertIfNegative val="0"/>
          <c:dLbls>
            <c:delete val="1"/>
          </c:dLbls>
          <c:cat>
            <c:strRef>
              <c:f>'[新建 XLS 工作表.xls]Sheet1'!$B$36:$B$40</c:f>
              <c:strCache>
                <c:ptCount val="5"/>
                <c:pt idx="0">
                  <c:v>食  品</c:v>
                </c:pt>
                <c:pt idx="1">
                  <c:v>交通工具</c:v>
                </c:pt>
                <c:pt idx="2">
                  <c:v>服装鞋帽</c:v>
                </c:pt>
                <c:pt idx="3">
                  <c:v>家具用品</c:v>
                </c:pt>
                <c:pt idx="4">
                  <c:v>房屋</c:v>
                </c:pt>
              </c:strCache>
            </c:strRef>
          </c:cat>
          <c:val>
            <c:numRef>
              <c:f>'[新建 XLS 工作表.xls]Sheet1'!$C$36:$C$40</c:f>
              <c:numCache>
                <c:formatCode>General</c:formatCode>
                <c:ptCount val="5"/>
                <c:pt idx="0">
                  <c:v>33</c:v>
                </c:pt>
                <c:pt idx="1">
                  <c:v>25</c:v>
                </c:pt>
                <c:pt idx="2">
                  <c:v>20</c:v>
                </c:pt>
                <c:pt idx="3">
                  <c:v>14</c:v>
                </c:pt>
                <c:pt idx="4">
                  <c:v>11</c:v>
                </c:pt>
              </c:numCache>
            </c:numRef>
          </c:val>
        </c:ser>
        <c:ser>
          <c:idx val="1"/>
          <c:order val="1"/>
          <c:tx>
            <c:strRef>
              <c:f>'[新建 XLS 工作表.xls]Sheet1'!$D$35</c:f>
              <c:strCache>
                <c:ptCount val="1"/>
                <c:pt idx="0">
                  <c:v>2021年</c:v>
                </c:pt>
              </c:strCache>
            </c:strRef>
          </c:tx>
          <c:spPr>
            <a:solidFill>
              <a:schemeClr val="accent2"/>
            </a:solidFill>
            <a:ln>
              <a:noFill/>
            </a:ln>
            <a:effectLst/>
          </c:spPr>
          <c:invertIfNegative val="0"/>
          <c:dLbls>
            <c:delete val="1"/>
          </c:dLbls>
          <c:cat>
            <c:strRef>
              <c:f>'[新建 XLS 工作表.xls]Sheet1'!$B$36:$B$40</c:f>
              <c:strCache>
                <c:ptCount val="5"/>
                <c:pt idx="0">
                  <c:v>食  品</c:v>
                </c:pt>
                <c:pt idx="1">
                  <c:v>交通工具</c:v>
                </c:pt>
                <c:pt idx="2">
                  <c:v>服装鞋帽</c:v>
                </c:pt>
                <c:pt idx="3">
                  <c:v>家具用品</c:v>
                </c:pt>
                <c:pt idx="4">
                  <c:v>房屋</c:v>
                </c:pt>
              </c:strCache>
            </c:strRef>
          </c:cat>
          <c:val>
            <c:numRef>
              <c:f>'[新建 XLS 工作表.xls]Sheet1'!$D$36:$D$40</c:f>
              <c:numCache>
                <c:formatCode>General</c:formatCode>
                <c:ptCount val="5"/>
                <c:pt idx="0">
                  <c:v>78</c:v>
                </c:pt>
                <c:pt idx="1">
                  <c:v>32</c:v>
                </c:pt>
                <c:pt idx="2">
                  <c:v>28</c:v>
                </c:pt>
                <c:pt idx="3">
                  <c:v>20</c:v>
                </c:pt>
                <c:pt idx="4">
                  <c:v>12</c:v>
                </c:pt>
              </c:numCache>
            </c:numRef>
          </c:val>
        </c:ser>
        <c:ser>
          <c:idx val="2"/>
          <c:order val="2"/>
          <c:tx>
            <c:strRef>
              <c:f>'[新建 XLS 工作表.xls]Sheet1'!$E$35</c:f>
              <c:strCache>
                <c:ptCount val="1"/>
                <c:pt idx="0">
                  <c:v>升降率（%）</c:v>
                </c:pt>
              </c:strCache>
            </c:strRef>
          </c:tx>
          <c:spPr>
            <a:solidFill>
              <a:schemeClr val="accent3"/>
            </a:solidFill>
            <a:ln>
              <a:noFill/>
            </a:ln>
            <a:effectLst/>
          </c:spPr>
          <c:invertIfNegative val="0"/>
          <c:dLbls>
            <c:delete val="1"/>
          </c:dLbls>
          <c:cat>
            <c:strRef>
              <c:f>'[新建 XLS 工作表.xls]Sheet1'!$B$36:$B$40</c:f>
              <c:strCache>
                <c:ptCount val="5"/>
                <c:pt idx="0">
                  <c:v>食  品</c:v>
                </c:pt>
                <c:pt idx="1">
                  <c:v>交通工具</c:v>
                </c:pt>
                <c:pt idx="2">
                  <c:v>服装鞋帽</c:v>
                </c:pt>
                <c:pt idx="3">
                  <c:v>家具用品</c:v>
                </c:pt>
                <c:pt idx="4">
                  <c:v>房屋</c:v>
                </c:pt>
              </c:strCache>
            </c:strRef>
          </c:cat>
          <c:val>
            <c:numRef>
              <c:f>'[新建 XLS 工作表.xls]Sheet1'!$E$36:$E$40</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271045785"/>
        <c:axId val="181110836"/>
      </c:barChart>
      <c:catAx>
        <c:axId val="2710457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110836"/>
        <c:crosses val="autoZero"/>
        <c:auto val="1"/>
        <c:lblAlgn val="ctr"/>
        <c:lblOffset val="100"/>
        <c:noMultiLvlLbl val="0"/>
      </c:catAx>
      <c:valAx>
        <c:axId val="181110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045785"/>
        <c:crosses val="autoZero"/>
        <c:crossBetween val="between"/>
      </c:valAx>
      <c:spPr>
        <a:solidFill>
          <a:schemeClr val="tx2">
            <a:lumMod val="20000"/>
            <a:lumOff val="80000"/>
          </a:schemeClr>
        </a:solid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16520629356792"/>
          <c:y val="0.261530416996569"/>
          <c:w val="0.911111111111111"/>
          <c:h val="0.654027777777778"/>
        </c:manualLayout>
      </c:layout>
      <c:barChart>
        <c:barDir val="col"/>
        <c:grouping val="clustered"/>
        <c:varyColors val="0"/>
        <c:ser>
          <c:idx val="0"/>
          <c:order val="0"/>
          <c:tx>
            <c:strRef>
              <c:f>'[新建 XLS 工作表.xls]Sheet1'!$C$55:$C$56</c:f>
              <c:strCache>
                <c:ptCount val="1"/>
                <c:pt idx="0">
                  <c:v>2020年</c:v>
                </c:pt>
              </c:strCache>
            </c:strRef>
          </c:tx>
          <c:spPr>
            <a:solidFill>
              <a:srgbClr val="365B7C"/>
            </a:solidFill>
            <a:ln w="57150" cmpd="dbl">
              <a:solidFill>
                <a:srgbClr val="365B7C"/>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工作表.xls]Sheet1'!$B$57:$B$61</c:f>
              <c:strCache>
                <c:ptCount val="5"/>
                <c:pt idx="0">
                  <c:v>餐饮和住宿服务</c:v>
                </c:pt>
                <c:pt idx="1">
                  <c:v>电信服务</c:v>
                </c:pt>
                <c:pt idx="2">
                  <c:v>专业技术服务</c:v>
                </c:pt>
                <c:pt idx="3">
                  <c:v>物业服务</c:v>
                </c:pt>
                <c:pt idx="4">
                  <c:v>销售服务</c:v>
                </c:pt>
              </c:strCache>
            </c:strRef>
          </c:cat>
          <c:val>
            <c:numRef>
              <c:f>'[新建 XLS 工作表.xls]Sheet1'!$C$57:$C$61</c:f>
              <c:numCache>
                <c:formatCode>General</c:formatCode>
                <c:ptCount val="5"/>
                <c:pt idx="0">
                  <c:v>35</c:v>
                </c:pt>
                <c:pt idx="1">
                  <c:v>8</c:v>
                </c:pt>
                <c:pt idx="2">
                  <c:v>9</c:v>
                </c:pt>
                <c:pt idx="3">
                  <c:v>11</c:v>
                </c:pt>
                <c:pt idx="4">
                  <c:v>31</c:v>
                </c:pt>
              </c:numCache>
            </c:numRef>
          </c:val>
        </c:ser>
        <c:ser>
          <c:idx val="1"/>
          <c:order val="1"/>
          <c:tx>
            <c:strRef>
              <c:f>'[新建 XLS 工作表.xls]Sheet1'!$D$55:$D$56</c:f>
              <c:strCache>
                <c:ptCount val="1"/>
                <c:pt idx="0">
                  <c:v>2021年</c:v>
                </c:pt>
              </c:strCache>
            </c:strRef>
          </c:tx>
          <c:spPr>
            <a:solidFill>
              <a:srgbClr val="966480"/>
            </a:solidFill>
            <a:ln w="57150" cmpd="dbl">
              <a:solidFill>
                <a:srgbClr val="966480"/>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工作表.xls]Sheet1'!$B$57:$B$61</c:f>
              <c:strCache>
                <c:ptCount val="5"/>
                <c:pt idx="0">
                  <c:v>餐饮和住宿服务</c:v>
                </c:pt>
                <c:pt idx="1">
                  <c:v>电信服务</c:v>
                </c:pt>
                <c:pt idx="2">
                  <c:v>专业技术服务</c:v>
                </c:pt>
                <c:pt idx="3">
                  <c:v>物业服务</c:v>
                </c:pt>
                <c:pt idx="4">
                  <c:v>销售服务</c:v>
                </c:pt>
              </c:strCache>
            </c:strRef>
          </c:cat>
          <c:val>
            <c:numRef>
              <c:f>'[新建 XLS 工作表.xls]Sheet1'!$D$57:$D$61</c:f>
              <c:numCache>
                <c:formatCode>General</c:formatCode>
                <c:ptCount val="5"/>
                <c:pt idx="0">
                  <c:v>56</c:v>
                </c:pt>
                <c:pt idx="1">
                  <c:v>23</c:v>
                </c:pt>
                <c:pt idx="2">
                  <c:v>22</c:v>
                </c:pt>
                <c:pt idx="3">
                  <c:v>13</c:v>
                </c:pt>
                <c:pt idx="4">
                  <c:v>12</c:v>
                </c:pt>
              </c:numCache>
            </c:numRef>
          </c:val>
        </c:ser>
        <c:ser>
          <c:idx val="2"/>
          <c:order val="2"/>
          <c:tx>
            <c:strRef>
              <c:f>'[新建 XLS 工作表.xls]Sheet1'!$E$55:$E$56</c:f>
              <c:strCache>
                <c:ptCount val="1"/>
                <c:pt idx="0">
                  <c:v>升降率（%）</c:v>
                </c:pt>
              </c:strCache>
            </c:strRef>
          </c:tx>
          <c:spPr>
            <a:solidFill>
              <a:srgbClr val="D06F83"/>
            </a:solidFill>
            <a:ln w="57150" cmpd="dbl">
              <a:solidFill>
                <a:srgbClr val="D06F83"/>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工作表.xls]Sheet1'!$B$57:$B$61</c:f>
              <c:strCache>
                <c:ptCount val="5"/>
                <c:pt idx="0">
                  <c:v>餐饮和住宿服务</c:v>
                </c:pt>
                <c:pt idx="1">
                  <c:v>电信服务</c:v>
                </c:pt>
                <c:pt idx="2">
                  <c:v>专业技术服务</c:v>
                </c:pt>
                <c:pt idx="3">
                  <c:v>物业服务</c:v>
                </c:pt>
                <c:pt idx="4">
                  <c:v>销售服务</c:v>
                </c:pt>
              </c:strCache>
            </c:strRef>
          </c:cat>
          <c:val>
            <c:numRef>
              <c:f>'[新建 XLS 工作表.xls]Sheet1'!$E$57:$E$61</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269"/>
        <c:overlap val="-55"/>
        <c:axId val="169807300"/>
        <c:axId val="133689548"/>
      </c:barChart>
      <c:catAx>
        <c:axId val="169807300"/>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33689548"/>
        <c:crosses val="autoZero"/>
        <c:auto val="1"/>
        <c:lblAlgn val="ctr"/>
        <c:lblOffset val="100"/>
        <c:noMultiLvlLbl val="0"/>
      </c:catAx>
      <c:valAx>
        <c:axId val="13368954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69807300"/>
        <c:crosses val="autoZero"/>
        <c:crossBetween val="between"/>
      </c:valAx>
      <c:spPr>
        <a:solidFill>
          <a:srgbClr val="44546A">
            <a:lumMod val="60000"/>
            <a:lumOff val="40000"/>
          </a:srgbClr>
        </a:solid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pattFill prst="dotDmnd">
      <a:fgClr>
        <a:srgbClr val="5B9BD5"/>
      </a:fgClr>
      <a:bgClr>
        <a:srgbClr val="DAB4DE"/>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75169037071578"/>
          <c:y val="0.0329632985953783"/>
          <c:w val="0.746840755420844"/>
          <c:h val="0.837652922519257"/>
        </c:manualLayout>
      </c:layout>
      <c:barChart>
        <c:barDir val="col"/>
        <c:grouping val="clustered"/>
        <c:varyColors val="0"/>
        <c:ser>
          <c:idx val="0"/>
          <c:order val="0"/>
          <c:tx>
            <c:strRef>
              <c:f>'[新建 XLS 工作表.xls]Sheet1'!$C$68:$C$69</c:f>
              <c:strCache>
                <c:ptCount val="1"/>
                <c:pt idx="0">
                  <c:v>2020年</c:v>
                </c:pt>
              </c:strCache>
            </c:strRef>
          </c:tx>
          <c:spPr>
            <a:solidFill>
              <a:srgbClr val="365B7C"/>
            </a:solidFill>
            <a:ln w="57150" cmpd="dbl">
              <a:solidFill>
                <a:srgbClr val="365B7C"/>
              </a:solidFill>
            </a:ln>
            <a:effectLst/>
          </c:spPr>
          <c:invertIfNegative val="0"/>
          <c:dLbls>
            <c:delete val="1"/>
          </c:dLbls>
          <c:cat>
            <c:strRef>
              <c:f>'[新建 XLS 工作表.xls]Sheet1'!$B$70:$B$74</c:f>
              <c:strCache>
                <c:ptCount val="5"/>
                <c:pt idx="0">
                  <c:v>食品违法行为</c:v>
                </c:pt>
                <c:pt idx="1">
                  <c:v>价格违法行为</c:v>
                </c:pt>
                <c:pt idx="2">
                  <c:v>侵权行为</c:v>
                </c:pt>
                <c:pt idx="3">
                  <c:v>产品质量行为</c:v>
                </c:pt>
                <c:pt idx="4">
                  <c:v>其他违法行为</c:v>
                </c:pt>
              </c:strCache>
            </c:strRef>
          </c:cat>
          <c:val>
            <c:numRef>
              <c:f>'[新建 XLS 工作表.xls]Sheet1'!$C$70:$C$74</c:f>
              <c:numCache>
                <c:formatCode>General</c:formatCode>
                <c:ptCount val="5"/>
                <c:pt idx="0">
                  <c:v>57</c:v>
                </c:pt>
                <c:pt idx="1">
                  <c:v>73</c:v>
                </c:pt>
                <c:pt idx="2">
                  <c:v>7</c:v>
                </c:pt>
                <c:pt idx="3">
                  <c:v>8</c:v>
                </c:pt>
                <c:pt idx="4">
                  <c:v>26</c:v>
                </c:pt>
              </c:numCache>
            </c:numRef>
          </c:val>
        </c:ser>
        <c:ser>
          <c:idx val="1"/>
          <c:order val="1"/>
          <c:tx>
            <c:strRef>
              <c:f>'[新建 XLS 工作表.xls]Sheet1'!$D$68:$D$69</c:f>
              <c:strCache>
                <c:ptCount val="1"/>
                <c:pt idx="0">
                  <c:v>2021年</c:v>
                </c:pt>
              </c:strCache>
            </c:strRef>
          </c:tx>
          <c:spPr>
            <a:solidFill>
              <a:srgbClr val="966480"/>
            </a:solidFill>
            <a:ln w="57150" cmpd="dbl">
              <a:solidFill>
                <a:srgbClr val="966480"/>
              </a:solidFill>
            </a:ln>
            <a:effectLst/>
          </c:spPr>
          <c:invertIfNegative val="0"/>
          <c:dLbls>
            <c:delete val="1"/>
          </c:dLbls>
          <c:cat>
            <c:strRef>
              <c:f>'[新建 XLS 工作表.xls]Sheet1'!$B$70:$B$74</c:f>
              <c:strCache>
                <c:ptCount val="5"/>
                <c:pt idx="0">
                  <c:v>食品违法行为</c:v>
                </c:pt>
                <c:pt idx="1">
                  <c:v>价格违法行为</c:v>
                </c:pt>
                <c:pt idx="2">
                  <c:v>侵权行为</c:v>
                </c:pt>
                <c:pt idx="3">
                  <c:v>产品质量行为</c:v>
                </c:pt>
                <c:pt idx="4">
                  <c:v>其他违法行为</c:v>
                </c:pt>
              </c:strCache>
            </c:strRef>
          </c:cat>
          <c:val>
            <c:numRef>
              <c:f>'[新建 XLS 工作表.xls]Sheet1'!$D$70:$D$74</c:f>
              <c:numCache>
                <c:formatCode>General</c:formatCode>
                <c:ptCount val="5"/>
                <c:pt idx="0">
                  <c:v>58</c:v>
                </c:pt>
                <c:pt idx="1">
                  <c:v>30</c:v>
                </c:pt>
                <c:pt idx="2">
                  <c:v>22</c:v>
                </c:pt>
                <c:pt idx="3">
                  <c:v>14</c:v>
                </c:pt>
                <c:pt idx="4">
                  <c:v>14</c:v>
                </c:pt>
              </c:numCache>
            </c:numRef>
          </c:val>
        </c:ser>
        <c:ser>
          <c:idx val="2"/>
          <c:order val="2"/>
          <c:tx>
            <c:strRef>
              <c:f>'[新建 XLS 工作表.xls]Sheet1'!$E$68:$E$69</c:f>
              <c:strCache>
                <c:ptCount val="1"/>
                <c:pt idx="0">
                  <c:v>升降率（%）</c:v>
                </c:pt>
              </c:strCache>
            </c:strRef>
          </c:tx>
          <c:spPr>
            <a:solidFill>
              <a:srgbClr val="D06F83"/>
            </a:solidFill>
            <a:ln w="57150" cmpd="dbl">
              <a:solidFill>
                <a:srgbClr val="D06F83"/>
              </a:solidFill>
            </a:ln>
            <a:effectLst/>
          </c:spPr>
          <c:invertIfNegative val="0"/>
          <c:dLbls>
            <c:delete val="1"/>
          </c:dLbls>
          <c:cat>
            <c:strRef>
              <c:f>'[新建 XLS 工作表.xls]Sheet1'!$B$70:$B$74</c:f>
              <c:strCache>
                <c:ptCount val="5"/>
                <c:pt idx="0">
                  <c:v>食品违法行为</c:v>
                </c:pt>
                <c:pt idx="1">
                  <c:v>价格违法行为</c:v>
                </c:pt>
                <c:pt idx="2">
                  <c:v>侵权行为</c:v>
                </c:pt>
                <c:pt idx="3">
                  <c:v>产品质量行为</c:v>
                </c:pt>
                <c:pt idx="4">
                  <c:v>其他违法行为</c:v>
                </c:pt>
              </c:strCache>
            </c:strRef>
          </c:cat>
          <c:val>
            <c:numRef>
              <c:f>'[新建 XLS 工作表.xls]Sheet1'!$E$70:$E$74</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150"/>
        <c:overlap val="0"/>
        <c:axId val="799244200"/>
        <c:axId val="709198351"/>
      </c:barChart>
      <c:catAx>
        <c:axId val="799244200"/>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09198351"/>
        <c:crosses val="autoZero"/>
        <c:auto val="1"/>
        <c:lblAlgn val="ctr"/>
        <c:lblOffset val="100"/>
        <c:noMultiLvlLbl val="0"/>
      </c:catAx>
      <c:valAx>
        <c:axId val="70919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99244200"/>
        <c:crosses val="autoZero"/>
        <c:crossBetween val="between"/>
      </c:valAx>
      <c:spPr>
        <a:gradFill>
          <a:gsLst>
            <a:gs pos="100000">
              <a:srgbClr val="F9F8CA"/>
            </a:gs>
            <a:gs pos="6000">
              <a:srgbClr val="4EAADD"/>
            </a:gs>
          </a:gsLst>
          <a:lin scaled="1"/>
        </a:grad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2022-01-04T07:30:00Z</cp:lastPrinted>
  <dcterms:modified xsi:type="dcterms:W3CDTF">2022-01-10T09:12:41Z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DA0B115FB1644EEE94B836421FE3F501</vt:lpwstr>
  </property>
</Properties>
</file>