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560" w:lineRule="exact"/>
        <w:ind w:right="300"/>
        <w:jc w:val="center"/>
        <w:textAlignment w:val="auto"/>
        <w:rPr>
          <w:rFonts w:hint="eastAsia" w:ascii="方正小标宋简体" w:hAnsi="方正小标宋简体" w:eastAsia="方正小标宋简体" w:cs="方正小标宋简体"/>
          <w:color w:val="222222"/>
          <w:sz w:val="44"/>
          <w:szCs w:val="44"/>
          <w:shd w:val="clear" w:color="auto" w:fill="FFFFFF"/>
        </w:rPr>
      </w:pPr>
      <w:r>
        <w:rPr>
          <w:rFonts w:hint="eastAsia" w:ascii="方正小标宋简体" w:hAnsi="方正小标宋简体" w:eastAsia="方正小标宋简体" w:cs="方正小标宋简体"/>
          <w:color w:val="222222"/>
          <w:sz w:val="44"/>
          <w:szCs w:val="44"/>
          <w:shd w:val="clear" w:color="auto" w:fill="FFFFFF"/>
        </w:rPr>
        <w:t>20</w:t>
      </w:r>
      <w:r>
        <w:rPr>
          <w:rFonts w:hint="eastAsia" w:ascii="方正小标宋简体" w:hAnsi="方正小标宋简体" w:eastAsia="方正小标宋简体" w:cs="方正小标宋简体"/>
          <w:color w:val="222222"/>
          <w:sz w:val="44"/>
          <w:szCs w:val="44"/>
          <w:shd w:val="clear" w:color="auto" w:fill="FFFFFF"/>
        </w:rPr>
        <w:t>20</w:t>
      </w:r>
      <w:r>
        <w:rPr>
          <w:rFonts w:hint="eastAsia" w:ascii="方正小标宋简体" w:hAnsi="方正小标宋简体" w:eastAsia="方正小标宋简体" w:cs="方正小标宋简体"/>
          <w:color w:val="222222"/>
          <w:sz w:val="44"/>
          <w:szCs w:val="44"/>
          <w:shd w:val="clear" w:color="auto" w:fill="FFFFFF"/>
        </w:rPr>
        <w:t>年政府性基金相关政策及</w:t>
      </w:r>
      <w:r>
        <w:rPr>
          <w:rFonts w:hint="eastAsia" w:ascii="方正小标宋简体" w:hAnsi="方正小标宋简体" w:eastAsia="方正小标宋简体" w:cs="方正小标宋简体"/>
          <w:color w:val="222222"/>
          <w:sz w:val="44"/>
          <w:szCs w:val="44"/>
          <w:shd w:val="clear" w:color="auto" w:fill="FFFFFF"/>
        </w:rPr>
        <w:t>收支决算</w:t>
      </w:r>
    </w:p>
    <w:p>
      <w:pPr>
        <w:pStyle w:val="4"/>
        <w:keepNext w:val="0"/>
        <w:keepLines w:val="0"/>
        <w:pageBreakBefore w:val="0"/>
        <w:widowControl/>
        <w:kinsoku/>
        <w:wordWrap/>
        <w:overflowPunct/>
        <w:topLinePunct w:val="0"/>
        <w:autoSpaceDE/>
        <w:autoSpaceDN/>
        <w:bidi w:val="0"/>
        <w:adjustRightInd/>
        <w:snapToGrid/>
        <w:spacing w:line="560" w:lineRule="exact"/>
        <w:ind w:right="300"/>
        <w:jc w:val="center"/>
        <w:textAlignment w:val="auto"/>
        <w:rPr>
          <w:rFonts w:hint="eastAsia" w:ascii="方正小标宋简体" w:hAnsi="方正小标宋简体" w:eastAsia="方正小标宋简体" w:cs="方正小标宋简体"/>
          <w:color w:val="222222"/>
          <w:sz w:val="44"/>
          <w:szCs w:val="44"/>
          <w:shd w:val="clear" w:color="auto" w:fill="FFFFFF"/>
        </w:rPr>
      </w:pPr>
      <w:r>
        <w:rPr>
          <w:rFonts w:hint="eastAsia" w:ascii="方正小标宋简体" w:hAnsi="方正小标宋简体" w:eastAsia="方正小标宋简体" w:cs="方正小标宋简体"/>
          <w:color w:val="222222"/>
          <w:sz w:val="44"/>
          <w:szCs w:val="44"/>
          <w:shd w:val="clear" w:color="auto" w:fill="FFFFFF"/>
        </w:rPr>
        <w:t>说明</w:t>
      </w:r>
    </w:p>
    <w:p>
      <w:pPr>
        <w:pStyle w:val="4"/>
        <w:keepNext w:val="0"/>
        <w:keepLines w:val="0"/>
        <w:pageBreakBefore w:val="0"/>
        <w:widowControl/>
        <w:kinsoku/>
        <w:wordWrap/>
        <w:overflowPunct/>
        <w:topLinePunct w:val="0"/>
        <w:autoSpaceDE/>
        <w:autoSpaceDN/>
        <w:bidi w:val="0"/>
        <w:adjustRightInd/>
        <w:snapToGrid/>
        <w:spacing w:line="560" w:lineRule="exact"/>
        <w:ind w:right="300"/>
        <w:jc w:val="center"/>
        <w:textAlignment w:val="auto"/>
        <w:rPr>
          <w:rFonts w:hint="eastAsia" w:ascii="方正小标宋简体" w:hAnsi="方正小标宋简体" w:eastAsia="方正小标宋简体" w:cs="方正小标宋简体"/>
          <w:color w:val="222222"/>
          <w:sz w:val="44"/>
          <w:szCs w:val="44"/>
          <w:shd w:val="clear" w:color="auto"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2020年，基金总收入70019万元（其中：政府性基金预算收入37859万元、省市下达基金专项1910万元、新增专项债券</w:t>
      </w:r>
      <w:r>
        <w:rPr>
          <w:rFonts w:hint="eastAsia" w:ascii="仿宋_GB2312" w:hAnsi="仿宋_GB2312" w:eastAsia="仿宋_GB2312" w:cs="仿宋_GB2312"/>
          <w:spacing w:val="-11"/>
          <w:kern w:val="0"/>
          <w:sz w:val="32"/>
        </w:rPr>
        <w:t>16000万元、抗疫特别国债13350万元、再融资债券900万元），</w:t>
      </w:r>
      <w:r>
        <w:rPr>
          <w:rFonts w:hint="eastAsia" w:ascii="仿宋_GB2312" w:hAnsi="仿宋_GB2312" w:eastAsia="仿宋_GB2312" w:cs="仿宋_GB2312"/>
          <w:kern w:val="0"/>
          <w:sz w:val="32"/>
        </w:rPr>
        <w:t>基金预算支出68710万元，专项债劵还本支出1000万元，调入一般公共预算309万元。</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b w:val="0"/>
          <w:bCs/>
          <w:kern w:val="0"/>
          <w:sz w:val="32"/>
        </w:rPr>
      </w:pPr>
      <w:bookmarkStart w:id="0" w:name="_Toc12330"/>
      <w:r>
        <w:rPr>
          <w:rFonts w:hint="eastAsia" w:ascii="黑体" w:hAnsi="黑体" w:eastAsia="黑体" w:cs="黑体"/>
          <w:b w:val="0"/>
          <w:bCs/>
          <w:kern w:val="0"/>
          <w:sz w:val="32"/>
          <w:lang w:eastAsia="zh-CN"/>
        </w:rPr>
        <w:t>一、</w:t>
      </w:r>
      <w:r>
        <w:rPr>
          <w:rFonts w:hint="eastAsia" w:ascii="黑体" w:hAnsi="黑体" w:eastAsia="黑体" w:cs="黑体"/>
          <w:b w:val="0"/>
          <w:bCs/>
          <w:kern w:val="0"/>
          <w:sz w:val="32"/>
        </w:rPr>
        <w:t>基金收入情况</w:t>
      </w:r>
      <w:bookmarkEnd w:id="0"/>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kern w:val="0"/>
          <w:sz w:val="32"/>
        </w:rPr>
      </w:pPr>
      <w:r>
        <w:rPr>
          <w:rFonts w:hint="eastAsia" w:ascii="仿宋_GB2312" w:hAnsi="宋体" w:eastAsia="仿宋_GB2312"/>
          <w:kern w:val="0"/>
          <w:sz w:val="32"/>
        </w:rPr>
        <w:t>2020年全县政府性基金收入完成</w:t>
      </w:r>
      <w:r>
        <w:rPr>
          <w:rFonts w:hint="eastAsia" w:ascii="仿宋_GB2312" w:hAnsi="仿宋_GB2312" w:eastAsia="仿宋_GB2312" w:cs="仿宋_GB2312"/>
          <w:kern w:val="0"/>
          <w:sz w:val="32"/>
        </w:rPr>
        <w:t>37859</w:t>
      </w:r>
      <w:r>
        <w:rPr>
          <w:rFonts w:hint="eastAsia" w:ascii="仿宋_GB2312" w:hAnsi="宋体" w:eastAsia="仿宋_GB2312"/>
          <w:kern w:val="0"/>
          <w:sz w:val="32"/>
        </w:rPr>
        <w:t>万元，占预算20770万元的</w:t>
      </w:r>
      <w:r>
        <w:rPr>
          <w:rFonts w:hint="eastAsia" w:ascii="仿宋_GB2312" w:hAnsi="仿宋_GB2312" w:eastAsia="仿宋_GB2312" w:cs="仿宋_GB2312"/>
          <w:kern w:val="0"/>
          <w:sz w:val="32"/>
        </w:rPr>
        <w:t>182.3</w:t>
      </w:r>
      <w:r>
        <w:rPr>
          <w:rFonts w:hint="eastAsia" w:ascii="仿宋_GB2312" w:hAnsi="宋体" w:eastAsia="仿宋_GB2312"/>
          <w:kern w:val="0"/>
          <w:sz w:val="32"/>
        </w:rPr>
        <w:t>%。其中：农业土地开发资金</w:t>
      </w:r>
      <w:r>
        <w:rPr>
          <w:rFonts w:hint="eastAsia" w:ascii="仿宋_GB2312" w:hAnsi="仿宋_GB2312" w:eastAsia="仿宋_GB2312" w:cs="仿宋_GB2312"/>
          <w:kern w:val="0"/>
          <w:sz w:val="32"/>
        </w:rPr>
        <w:t>18</w:t>
      </w:r>
      <w:r>
        <w:rPr>
          <w:rFonts w:hint="eastAsia" w:ascii="仿宋_GB2312" w:hAnsi="宋体" w:eastAsia="仿宋_GB2312"/>
          <w:kern w:val="0"/>
          <w:sz w:val="32"/>
        </w:rPr>
        <w:t>万元，占预算100万元的</w:t>
      </w:r>
      <w:r>
        <w:rPr>
          <w:rFonts w:hint="eastAsia" w:ascii="仿宋_GB2312" w:hAnsi="仿宋_GB2312" w:eastAsia="仿宋_GB2312" w:cs="仿宋_GB2312"/>
          <w:kern w:val="0"/>
          <w:sz w:val="32"/>
        </w:rPr>
        <w:t>18</w:t>
      </w:r>
      <w:r>
        <w:rPr>
          <w:rFonts w:hint="eastAsia" w:ascii="仿宋_GB2312" w:hAnsi="宋体" w:eastAsia="仿宋_GB2312"/>
          <w:kern w:val="0"/>
          <w:sz w:val="32"/>
        </w:rPr>
        <w:t>%；国有土地出让金收入</w:t>
      </w:r>
      <w:r>
        <w:rPr>
          <w:rFonts w:hint="eastAsia" w:ascii="仿宋_GB2312" w:hAnsi="仿宋_GB2312" w:eastAsia="仿宋_GB2312" w:cs="仿宋_GB2312"/>
          <w:kern w:val="0"/>
          <w:sz w:val="32"/>
        </w:rPr>
        <w:t>36490</w:t>
      </w:r>
      <w:r>
        <w:rPr>
          <w:rFonts w:hint="eastAsia" w:ascii="仿宋_GB2312" w:hAnsi="宋体" w:eastAsia="仿宋_GB2312"/>
          <w:kern w:val="0"/>
          <w:sz w:val="32"/>
        </w:rPr>
        <w:t>万元，占预算20000万元的</w:t>
      </w:r>
      <w:r>
        <w:rPr>
          <w:rFonts w:hint="eastAsia" w:ascii="仿宋_GB2312" w:hAnsi="仿宋_GB2312" w:eastAsia="仿宋_GB2312" w:cs="仿宋_GB2312"/>
          <w:kern w:val="0"/>
          <w:sz w:val="32"/>
        </w:rPr>
        <w:t>182.5</w:t>
      </w:r>
      <w:r>
        <w:rPr>
          <w:rFonts w:hint="eastAsia" w:ascii="仿宋_GB2312" w:hAnsi="宋体" w:eastAsia="仿宋_GB2312"/>
          <w:kern w:val="0"/>
          <w:sz w:val="32"/>
        </w:rPr>
        <w:t>%；城市基础设施配套费收入</w:t>
      </w:r>
      <w:r>
        <w:rPr>
          <w:rFonts w:hint="eastAsia" w:ascii="仿宋_GB2312" w:hAnsi="仿宋_GB2312" w:eastAsia="仿宋_GB2312" w:cs="仿宋_GB2312"/>
          <w:kern w:val="0"/>
          <w:sz w:val="32"/>
        </w:rPr>
        <w:t>1301</w:t>
      </w:r>
      <w:r>
        <w:rPr>
          <w:rFonts w:hint="eastAsia" w:ascii="仿宋_GB2312" w:hAnsi="宋体" w:eastAsia="仿宋_GB2312"/>
          <w:kern w:val="0"/>
          <w:sz w:val="32"/>
        </w:rPr>
        <w:t>万元，占预算400万元的</w:t>
      </w:r>
      <w:r>
        <w:rPr>
          <w:rFonts w:hint="eastAsia" w:ascii="仿宋_GB2312" w:hAnsi="仿宋_GB2312" w:eastAsia="仿宋_GB2312" w:cs="仿宋_GB2312"/>
          <w:kern w:val="0"/>
          <w:sz w:val="32"/>
        </w:rPr>
        <w:t>325.3</w:t>
      </w:r>
      <w:r>
        <w:rPr>
          <w:rFonts w:hint="eastAsia" w:ascii="仿宋_GB2312" w:hAnsi="宋体" w:eastAsia="仿宋_GB2312"/>
          <w:kern w:val="0"/>
          <w:sz w:val="32"/>
        </w:rPr>
        <w:t>%；污水处理费收入</w:t>
      </w:r>
      <w:r>
        <w:rPr>
          <w:rFonts w:hint="eastAsia" w:ascii="仿宋_GB2312" w:hAnsi="仿宋_GB2312" w:eastAsia="仿宋_GB2312" w:cs="仿宋_GB2312"/>
          <w:kern w:val="0"/>
          <w:sz w:val="32"/>
        </w:rPr>
        <w:t>50</w:t>
      </w:r>
      <w:r>
        <w:rPr>
          <w:rFonts w:hint="eastAsia" w:ascii="仿宋_GB2312" w:hAnsi="宋体" w:eastAsia="仿宋_GB2312"/>
          <w:kern w:val="0"/>
          <w:sz w:val="32"/>
        </w:rPr>
        <w:t>万元，占预算270万元的</w:t>
      </w:r>
      <w:r>
        <w:rPr>
          <w:rFonts w:hint="eastAsia" w:ascii="仿宋_GB2312" w:hAnsi="仿宋_GB2312" w:eastAsia="仿宋_GB2312" w:cs="仿宋_GB2312"/>
          <w:kern w:val="0"/>
          <w:sz w:val="32"/>
        </w:rPr>
        <w:t>18.5</w:t>
      </w:r>
      <w:r>
        <w:rPr>
          <w:rFonts w:hint="eastAsia" w:ascii="仿宋_GB2312" w:hAnsi="宋体" w:eastAsia="仿宋_GB2312"/>
          <w:kern w:val="0"/>
          <w:sz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黑体"/>
          <w:b w:val="0"/>
          <w:bCs/>
          <w:kern w:val="0"/>
          <w:sz w:val="32"/>
        </w:rPr>
      </w:pPr>
      <w:bookmarkStart w:id="1" w:name="_Toc23528"/>
      <w:r>
        <w:rPr>
          <w:rFonts w:hint="eastAsia" w:ascii="黑体" w:hAnsi="黑体" w:eastAsia="黑体" w:cs="黑体"/>
          <w:b w:val="0"/>
          <w:bCs/>
          <w:kern w:val="0"/>
          <w:sz w:val="32"/>
          <w:lang w:eastAsia="zh-CN"/>
        </w:rPr>
        <w:t>二、</w:t>
      </w:r>
      <w:r>
        <w:rPr>
          <w:rFonts w:hint="eastAsia" w:ascii="黑体" w:hAnsi="黑体" w:eastAsia="黑体" w:cs="黑体"/>
          <w:b w:val="0"/>
          <w:bCs/>
          <w:kern w:val="0"/>
          <w:sz w:val="32"/>
        </w:rPr>
        <w:t>基金支出情况</w:t>
      </w:r>
      <w:bookmarkEnd w:id="1"/>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0"/>
          <w:sz w:val="32"/>
        </w:rPr>
      </w:pPr>
      <w:r>
        <w:rPr>
          <w:rFonts w:hint="eastAsia" w:ascii="仿宋_GB2312" w:hAnsi="仿宋_GB2312" w:eastAsia="仿宋_GB2312" w:cs="仿宋_GB2312"/>
          <w:kern w:val="0"/>
          <w:sz w:val="32"/>
        </w:rPr>
        <w:t>2020年基金预算支出68710万元，占变动预算的100%。其中：国有土地使用权出让金支出50170万元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rPr>
        <w:t>城市基础设施配套费支出1009万元，污水处理费安排支出50万元，彩票公益金安排支出1858万元，国有土地使用权出让金债务付息支出   2203万元，地方政府专项债务发行费用支出18万元。</w:t>
      </w:r>
    </w:p>
    <w:p>
      <w:pPr>
        <w:pStyle w:val="4"/>
        <w:keepNext w:val="0"/>
        <w:keepLines w:val="0"/>
        <w:pageBreakBefore w:val="0"/>
        <w:widowControl/>
        <w:kinsoku/>
        <w:wordWrap/>
        <w:overflowPunct/>
        <w:topLinePunct w:val="0"/>
        <w:autoSpaceDE/>
        <w:autoSpaceDN/>
        <w:bidi w:val="0"/>
        <w:adjustRightInd/>
        <w:snapToGrid/>
        <w:spacing w:line="560" w:lineRule="exact"/>
        <w:ind w:left="300" w:right="300" w:firstLine="420"/>
        <w:jc w:val="both"/>
        <w:textAlignment w:val="auto"/>
        <w:rPr>
          <w:sz w:val="21"/>
          <w:szCs w:val="21"/>
        </w:rPr>
      </w:pPr>
      <w:r>
        <w:rPr>
          <w:rFonts w:hint="eastAsia" w:ascii="黑体" w:hAnsi="黑体" w:eastAsia="黑体" w:cs="黑体"/>
          <w:color w:val="222222"/>
          <w:sz w:val="32"/>
          <w:szCs w:val="32"/>
          <w:shd w:val="clear" w:color="auto" w:fill="FFFFFF"/>
          <w:lang w:eastAsia="zh-CN"/>
        </w:rPr>
        <w:t>三、</w:t>
      </w:r>
      <w:r>
        <w:rPr>
          <w:rFonts w:hint="eastAsia" w:ascii="黑体" w:hAnsi="黑体" w:eastAsia="黑体" w:cs="黑体"/>
          <w:color w:val="222222"/>
          <w:sz w:val="32"/>
          <w:szCs w:val="32"/>
          <w:shd w:val="clear" w:color="auto" w:fill="FFFFFF"/>
        </w:rPr>
        <w:t>相关政策说明</w:t>
      </w:r>
    </w:p>
    <w:p>
      <w:pPr>
        <w:pStyle w:val="4"/>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1.新增建设用地土地有偿使用费。2006年，财政部会同国土资源部、中国人民银行印发了《关于调整新增建设用地土地有偿使用费政策等问题的通知》（财综〔2006〕48号）。新增建设用地土地有偿使用费是国务院或省级人民政府在批准农用地转用、征用土地时，向取得出让等有偿使用方式的新增建设用地的县、市人民政府收取的费用。该基金收入30%上缴中央财政，70%上缴省级财政，专项用于基本农田建设和保护、土地整理和耕地开发等支出。</w:t>
      </w:r>
    </w:p>
    <w:p>
      <w:pPr>
        <w:pStyle w:val="4"/>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2.国有土地使用权出让收入。根据《国务院办公厅关于规范国有土地使用权出让收支管理的通知》（国办发〔2006〕100号）、《甘肃省国有土地使用权出让收支管理办法》（甘肃省人民政府令第42号）等规定，国有土地使用权出让收入是指政府以出让等方式配置国有土地使用权取得的全部土地价款，包括受让人支付的征地和拆迁补偿费用、土地前期开发费用和土地出让收益等。从2007年起，省级财政按照市（州）国有土地使用权出让收入5%的比例分成。市（州）与县（市）分成比例由各地自定。支出范围包括：征地和拆迁补偿支出、土地开发支出、支农支出、城市建设支出以及其他支出等。</w:t>
      </w:r>
    </w:p>
    <w:p>
      <w:pPr>
        <w:pStyle w:val="4"/>
        <w:keepNext w:val="0"/>
        <w:keepLines w:val="0"/>
        <w:pageBreakBefore w:val="0"/>
        <w:widowControl/>
        <w:kinsoku/>
        <w:wordWrap/>
        <w:overflowPunct/>
        <w:topLinePunct w:val="0"/>
        <w:autoSpaceDE/>
        <w:autoSpaceDN/>
        <w:bidi w:val="0"/>
        <w:adjustRightInd/>
        <w:snapToGrid/>
        <w:spacing w:line="560" w:lineRule="exact"/>
        <w:ind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3.彩票公益金。根据《彩票管理条例》、《彩票管理实施</w:t>
      </w:r>
      <w:bookmarkStart w:id="2" w:name="_GoBack"/>
      <w:bookmarkEnd w:id="2"/>
      <w:r>
        <w:rPr>
          <w:rFonts w:hint="eastAsia" w:ascii="仿宋_GB2312" w:hAnsi="仿宋_GB2312" w:eastAsia="仿宋_GB2312" w:cs="仿宋_GB2312"/>
          <w:color w:val="auto"/>
          <w:sz w:val="32"/>
          <w:szCs w:val="32"/>
          <w:shd w:val="clear" w:color="auto" w:fill="FFFFFF"/>
        </w:rPr>
        <w:t>细则》以及《财政部关于印发&lt;彩票公益金管理办法&gt;的通知》（财综〔2012〕15号），彩票公益金是按照规定比例从彩票发行销售收入中提取的，专项用于社会福利、体育等社会公益事业的资金。彩票公益金分配政策是：中央与地方按5:5比例分配。彩票公益金使用范围包括：红十字事业、残疾人事业、农村医疗救助、城市医疗救助、教育助学、未成年人校外教育事业、文化、扶贫、法律援助等。</w:t>
      </w:r>
    </w:p>
    <w:p>
      <w:pPr>
        <w:keepNext w:val="0"/>
        <w:keepLines w:val="0"/>
        <w:pageBreakBefore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color w:val="auto"/>
          <w:sz w:val="32"/>
          <w:szCs w:val="32"/>
        </w:rPr>
      </w:pPr>
    </w:p>
    <w:sectPr>
      <w:footerReference r:id="rId3" w:type="default"/>
      <w:pgSz w:w="11906" w:h="16838"/>
      <w:pgMar w:top="1701" w:right="1587" w:bottom="1587" w:left="1587" w:header="851" w:footer="102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B6931"/>
    <w:rsid w:val="00302D84"/>
    <w:rsid w:val="004D178C"/>
    <w:rsid w:val="007314AF"/>
    <w:rsid w:val="008D4C24"/>
    <w:rsid w:val="00AB6931"/>
    <w:rsid w:val="00F90311"/>
    <w:rsid w:val="58C8197C"/>
    <w:rsid w:val="5FD25A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1"/>
    <w:qFormat/>
    <w:uiPriority w:val="0"/>
    <w:pPr>
      <w:tabs>
        <w:tab w:val="center" w:pos="4153"/>
        <w:tab w:val="right" w:pos="8306"/>
      </w:tabs>
      <w:snapToGrid w:val="0"/>
      <w:jc w:val="left"/>
    </w:pPr>
    <w:rPr>
      <w:sz w:val="18"/>
      <w:szCs w:val="18"/>
    </w:rPr>
  </w:style>
  <w:style w:type="paragraph" w:styleId="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222222"/>
      <w:u w:val="none"/>
    </w:rPr>
  </w:style>
  <w:style w:type="character" w:styleId="9">
    <w:name w:val="Hyperlink"/>
    <w:basedOn w:val="6"/>
    <w:qFormat/>
    <w:uiPriority w:val="0"/>
    <w:rPr>
      <w:color w:val="222222"/>
      <w:u w:val="none"/>
    </w:rPr>
  </w:style>
  <w:style w:type="character" w:customStyle="1" w:styleId="10">
    <w:name w:val="tree6"/>
    <w:basedOn w:val="6"/>
    <w:qFormat/>
    <w:uiPriority w:val="0"/>
  </w:style>
  <w:style w:type="character" w:customStyle="1" w:styleId="11">
    <w:name w:val="tree5"/>
    <w:basedOn w:val="6"/>
    <w:uiPriority w:val="0"/>
  </w:style>
  <w:style w:type="character" w:customStyle="1" w:styleId="12">
    <w:name w:val="info-icon10"/>
    <w:basedOn w:val="6"/>
    <w:uiPriority w:val="0"/>
  </w:style>
  <w:style w:type="character" w:customStyle="1" w:styleId="13">
    <w:name w:val="info-icon2"/>
    <w:basedOn w:val="6"/>
    <w:uiPriority w:val="0"/>
  </w:style>
  <w:style w:type="character" w:customStyle="1" w:styleId="14">
    <w:name w:val="info-icon4"/>
    <w:basedOn w:val="6"/>
    <w:uiPriority w:val="0"/>
  </w:style>
  <w:style w:type="character" w:customStyle="1" w:styleId="15">
    <w:name w:val="info-icon5"/>
    <w:basedOn w:val="6"/>
    <w:uiPriority w:val="0"/>
  </w:style>
  <w:style w:type="character" w:customStyle="1" w:styleId="16">
    <w:name w:val="info-icon6"/>
    <w:basedOn w:val="6"/>
    <w:uiPriority w:val="0"/>
  </w:style>
  <w:style w:type="character" w:customStyle="1" w:styleId="17">
    <w:name w:val="s_op"/>
    <w:basedOn w:val="6"/>
    <w:uiPriority w:val="0"/>
  </w:style>
  <w:style w:type="character" w:customStyle="1" w:styleId="18">
    <w:name w:val="info-icon3"/>
    <w:basedOn w:val="6"/>
    <w:uiPriority w:val="0"/>
  </w:style>
  <w:style w:type="character" w:customStyle="1" w:styleId="19">
    <w:name w:val="s_cl"/>
    <w:basedOn w:val="6"/>
    <w:qFormat/>
    <w:uiPriority w:val="0"/>
  </w:style>
  <w:style w:type="character" w:customStyle="1" w:styleId="20">
    <w:name w:val="info-icon8"/>
    <w:basedOn w:val="6"/>
    <w:uiPriority w:val="0"/>
  </w:style>
  <w:style w:type="character" w:customStyle="1" w:styleId="21">
    <w:name w:val="tree3"/>
    <w:basedOn w:val="6"/>
    <w:qFormat/>
    <w:uiPriority w:val="0"/>
  </w:style>
  <w:style w:type="character" w:customStyle="1" w:styleId="22">
    <w:name w:val="tree2"/>
    <w:basedOn w:val="6"/>
    <w:qFormat/>
    <w:uiPriority w:val="0"/>
  </w:style>
  <w:style w:type="character" w:customStyle="1" w:styleId="23">
    <w:name w:val="hover14"/>
    <w:basedOn w:val="6"/>
    <w:qFormat/>
    <w:uiPriority w:val="0"/>
    <w:rPr>
      <w:color w:val="0D84DE"/>
    </w:rPr>
  </w:style>
  <w:style w:type="character" w:customStyle="1" w:styleId="24">
    <w:name w:val="w2"/>
    <w:basedOn w:val="6"/>
    <w:qFormat/>
    <w:uiPriority w:val="0"/>
  </w:style>
  <w:style w:type="character" w:customStyle="1" w:styleId="25">
    <w:name w:val="on"/>
    <w:basedOn w:val="6"/>
    <w:qFormat/>
    <w:uiPriority w:val="0"/>
  </w:style>
  <w:style w:type="character" w:customStyle="1" w:styleId="26">
    <w:name w:val="info-icon1"/>
    <w:basedOn w:val="6"/>
    <w:qFormat/>
    <w:uiPriority w:val="0"/>
  </w:style>
  <w:style w:type="character" w:customStyle="1" w:styleId="27">
    <w:name w:val="info-icon7"/>
    <w:basedOn w:val="6"/>
    <w:qFormat/>
    <w:uiPriority w:val="0"/>
  </w:style>
  <w:style w:type="character" w:customStyle="1" w:styleId="28">
    <w:name w:val="info-icon9"/>
    <w:basedOn w:val="6"/>
    <w:qFormat/>
    <w:uiPriority w:val="0"/>
  </w:style>
  <w:style w:type="character" w:customStyle="1" w:styleId="29">
    <w:name w:val="tree4"/>
    <w:basedOn w:val="6"/>
    <w:qFormat/>
    <w:uiPriority w:val="0"/>
  </w:style>
  <w:style w:type="character" w:customStyle="1" w:styleId="30">
    <w:name w:val="页眉 Char"/>
    <w:basedOn w:val="6"/>
    <w:link w:val="3"/>
    <w:qFormat/>
    <w:uiPriority w:val="0"/>
    <w:rPr>
      <w:rFonts w:asciiTheme="minorHAnsi" w:hAnsiTheme="minorHAnsi" w:eastAsiaTheme="minorEastAsia" w:cstheme="minorBidi"/>
      <w:kern w:val="2"/>
      <w:sz w:val="18"/>
      <w:szCs w:val="18"/>
    </w:rPr>
  </w:style>
  <w:style w:type="character" w:customStyle="1" w:styleId="31">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178</Words>
  <Characters>1015</Characters>
  <Lines>8</Lines>
  <Paragraphs>2</Paragraphs>
  <TotalTime>3</TotalTime>
  <ScaleCrop>false</ScaleCrop>
  <LinksUpToDate>false</LinksUpToDate>
  <CharactersWithSpaces>1191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金色阳光</cp:lastModifiedBy>
  <dcterms:modified xsi:type="dcterms:W3CDTF">2021-10-12T10:08:00Z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B0458C02523A4DEA8AD692626DB55B4B</vt:lpwstr>
  </property>
</Properties>
</file>