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  <w:t>年一般公共预算支出说明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2020年，全县一般公共预算支出完成</w:t>
      </w:r>
      <w:r>
        <w:rPr>
          <w:rFonts w:hint="eastAsia" w:ascii="仿宋_GB2312" w:hAnsi="仿宋_GB2312" w:eastAsia="仿宋_GB2312" w:cs="仿宋_GB2312"/>
          <w:kern w:val="0"/>
          <w:sz w:val="32"/>
        </w:rPr>
        <w:t>464028</w:t>
      </w:r>
      <w:r>
        <w:rPr>
          <w:rFonts w:hint="eastAsia" w:ascii="仿宋_GB2312" w:hAnsi="宋体" w:eastAsia="仿宋_GB2312"/>
          <w:kern w:val="0"/>
          <w:sz w:val="32"/>
        </w:rPr>
        <w:t>万元，占变动预算465648万元的</w:t>
      </w:r>
      <w:r>
        <w:rPr>
          <w:rFonts w:hint="eastAsia" w:ascii="仿宋_GB2312" w:hAnsi="仿宋_GB2312" w:eastAsia="仿宋_GB2312" w:cs="仿宋_GB2312"/>
          <w:kern w:val="0"/>
          <w:sz w:val="32"/>
        </w:rPr>
        <w:t>99.7</w:t>
      </w:r>
      <w:r>
        <w:rPr>
          <w:rFonts w:hint="eastAsia" w:ascii="仿宋_GB2312" w:hAnsi="宋体" w:eastAsia="仿宋_GB2312"/>
          <w:kern w:val="0"/>
          <w:sz w:val="32"/>
        </w:rPr>
        <w:t>%。具体项目是：一般公共服务支出</w:t>
      </w:r>
      <w:r>
        <w:rPr>
          <w:rFonts w:hint="eastAsia" w:ascii="仿宋_GB2312" w:hAnsi="仿宋_GB2312" w:eastAsia="仿宋_GB2312" w:cs="仿宋_GB2312"/>
          <w:kern w:val="0"/>
          <w:sz w:val="32"/>
        </w:rPr>
        <w:t>32881</w:t>
      </w:r>
      <w:r>
        <w:rPr>
          <w:rFonts w:hint="eastAsia" w:ascii="仿宋_GB2312" w:hAnsi="宋体" w:eastAsia="仿宋_GB2312"/>
          <w:kern w:val="0"/>
          <w:sz w:val="32"/>
        </w:rPr>
        <w:t>万元；占变动预算</w:t>
      </w:r>
      <w:r>
        <w:rPr>
          <w:rFonts w:hint="eastAsia" w:ascii="仿宋_GB2312" w:hAnsi="仿宋_GB2312" w:eastAsia="仿宋_GB2312" w:cs="仿宋_GB2312"/>
          <w:kern w:val="0"/>
          <w:sz w:val="32"/>
        </w:rPr>
        <w:t>33026</w:t>
      </w:r>
      <w:r>
        <w:rPr>
          <w:rFonts w:hint="eastAsia" w:ascii="仿宋_GB2312" w:hAnsi="宋体" w:eastAsia="仿宋_GB2312"/>
          <w:kern w:val="0"/>
          <w:sz w:val="32"/>
        </w:rPr>
        <w:t>万元的</w:t>
      </w:r>
      <w:r>
        <w:rPr>
          <w:rFonts w:hint="eastAsia" w:ascii="仿宋_GB2312" w:hAnsi="仿宋_GB2312" w:eastAsia="仿宋_GB2312" w:cs="仿宋_GB2312"/>
          <w:kern w:val="0"/>
          <w:sz w:val="32"/>
        </w:rPr>
        <w:t>99.6</w:t>
      </w:r>
      <w:r>
        <w:rPr>
          <w:rFonts w:hint="eastAsia" w:ascii="仿宋_GB2312" w:hAnsi="宋体" w:eastAsia="仿宋_GB2312"/>
          <w:kern w:val="0"/>
          <w:sz w:val="32"/>
        </w:rPr>
        <w:t>%；公共安全支出</w:t>
      </w:r>
      <w:r>
        <w:rPr>
          <w:rFonts w:hint="eastAsia" w:ascii="仿宋_GB2312" w:hAnsi="仿宋_GB2312" w:eastAsia="仿宋_GB2312" w:cs="仿宋_GB2312"/>
          <w:kern w:val="0"/>
          <w:sz w:val="32"/>
        </w:rPr>
        <w:t>7254</w:t>
      </w:r>
      <w:r>
        <w:rPr>
          <w:rFonts w:hint="eastAsia" w:ascii="仿宋_GB2312" w:hAnsi="宋体" w:eastAsia="仿宋_GB2312"/>
          <w:kern w:val="0"/>
          <w:sz w:val="32"/>
        </w:rPr>
        <w:t>万元；占变动预算</w:t>
      </w:r>
      <w:r>
        <w:rPr>
          <w:rFonts w:hint="eastAsia" w:ascii="仿宋_GB2312" w:hAnsi="仿宋_GB2312" w:eastAsia="仿宋_GB2312" w:cs="仿宋_GB2312"/>
          <w:kern w:val="0"/>
          <w:sz w:val="32"/>
        </w:rPr>
        <w:t>7561</w:t>
      </w:r>
      <w:r>
        <w:rPr>
          <w:rFonts w:hint="eastAsia" w:ascii="仿宋_GB2312" w:hAnsi="宋体" w:eastAsia="仿宋_GB2312"/>
          <w:kern w:val="0"/>
          <w:sz w:val="32"/>
        </w:rPr>
        <w:t>万元的</w:t>
      </w:r>
      <w:r>
        <w:rPr>
          <w:rFonts w:hint="eastAsia" w:ascii="仿宋_GB2312" w:hAnsi="仿宋_GB2312" w:eastAsia="仿宋_GB2312" w:cs="仿宋_GB2312"/>
          <w:kern w:val="0"/>
          <w:sz w:val="32"/>
        </w:rPr>
        <w:t>95.9</w:t>
      </w:r>
      <w:r>
        <w:rPr>
          <w:rFonts w:hint="eastAsia" w:ascii="仿宋_GB2312" w:hAnsi="宋体" w:eastAsia="仿宋_GB2312"/>
          <w:kern w:val="0"/>
          <w:sz w:val="32"/>
        </w:rPr>
        <w:t>%；科学技术支出</w:t>
      </w:r>
      <w:r>
        <w:rPr>
          <w:rFonts w:hint="eastAsia" w:ascii="仿宋_GB2312" w:hAnsi="仿宋_GB2312" w:eastAsia="仿宋_GB2312" w:cs="仿宋_GB2312"/>
          <w:kern w:val="0"/>
          <w:sz w:val="32"/>
        </w:rPr>
        <w:t>462</w:t>
      </w:r>
      <w:r>
        <w:rPr>
          <w:rFonts w:hint="eastAsia" w:ascii="仿宋_GB2312" w:hAnsi="宋体" w:eastAsia="仿宋_GB2312"/>
          <w:kern w:val="0"/>
          <w:sz w:val="32"/>
        </w:rPr>
        <w:t>万元，占变动预算</w:t>
      </w:r>
      <w:r>
        <w:rPr>
          <w:rFonts w:hint="eastAsia" w:ascii="仿宋_GB2312" w:hAnsi="仿宋_GB2312" w:eastAsia="仿宋_GB2312" w:cs="仿宋_GB2312"/>
          <w:kern w:val="0"/>
          <w:sz w:val="32"/>
        </w:rPr>
        <w:t>472</w:t>
      </w:r>
      <w:r>
        <w:rPr>
          <w:rFonts w:hint="eastAsia" w:ascii="仿宋_GB2312" w:hAnsi="宋体" w:eastAsia="仿宋_GB2312"/>
          <w:kern w:val="0"/>
          <w:sz w:val="32"/>
        </w:rPr>
        <w:t>万元的</w:t>
      </w:r>
      <w:r>
        <w:rPr>
          <w:rFonts w:hint="eastAsia" w:ascii="仿宋_GB2312" w:hAnsi="仿宋_GB2312" w:eastAsia="仿宋_GB2312" w:cs="仿宋_GB2312"/>
          <w:kern w:val="0"/>
          <w:sz w:val="32"/>
        </w:rPr>
        <w:t>97.9</w:t>
      </w:r>
      <w:r>
        <w:rPr>
          <w:rFonts w:hint="eastAsia" w:ascii="仿宋_GB2312" w:hAnsi="宋体" w:eastAsia="仿宋_GB2312"/>
          <w:kern w:val="0"/>
          <w:sz w:val="32"/>
        </w:rPr>
        <w:t>%；社会保障和就业支出</w:t>
      </w:r>
      <w:r>
        <w:rPr>
          <w:rFonts w:hint="eastAsia" w:ascii="仿宋_GB2312" w:hAnsi="仿宋_GB2312" w:eastAsia="仿宋_GB2312" w:cs="仿宋_GB2312"/>
          <w:kern w:val="0"/>
          <w:sz w:val="32"/>
        </w:rPr>
        <w:t>64100</w:t>
      </w:r>
      <w:r>
        <w:rPr>
          <w:rFonts w:hint="eastAsia" w:ascii="仿宋_GB2312" w:hAnsi="宋体" w:eastAsia="仿宋_GB2312"/>
          <w:kern w:val="0"/>
          <w:sz w:val="32"/>
        </w:rPr>
        <w:t>万元，占变动预算</w:t>
      </w:r>
      <w:r>
        <w:rPr>
          <w:rFonts w:hint="eastAsia" w:ascii="仿宋_GB2312" w:hAnsi="仿宋_GB2312" w:eastAsia="仿宋_GB2312" w:cs="仿宋_GB2312"/>
          <w:kern w:val="0"/>
          <w:sz w:val="32"/>
        </w:rPr>
        <w:t>64120</w:t>
      </w:r>
      <w:r>
        <w:rPr>
          <w:rFonts w:hint="eastAsia" w:ascii="仿宋_GB2312" w:hAnsi="宋体" w:eastAsia="仿宋_GB2312"/>
          <w:kern w:val="0"/>
          <w:sz w:val="32"/>
        </w:rPr>
        <w:t>万元的</w:t>
      </w:r>
      <w:r>
        <w:rPr>
          <w:rFonts w:hint="eastAsia" w:ascii="仿宋_GB2312" w:hAnsi="仿宋_GB2312" w:eastAsia="仿宋_GB2312" w:cs="仿宋_GB2312"/>
          <w:kern w:val="0"/>
          <w:sz w:val="32"/>
        </w:rPr>
        <w:t>99.9</w:t>
      </w:r>
      <w:r>
        <w:rPr>
          <w:rFonts w:hint="eastAsia" w:ascii="仿宋_GB2312" w:hAnsi="宋体" w:eastAsia="仿宋_GB2312"/>
          <w:kern w:val="0"/>
          <w:sz w:val="32"/>
        </w:rPr>
        <w:t>%；城乡社区支出41673万元，占变动预算</w:t>
      </w:r>
      <w:r>
        <w:rPr>
          <w:rFonts w:hint="eastAsia" w:ascii="仿宋_GB2312" w:hAnsi="仿宋_GB2312" w:eastAsia="仿宋_GB2312" w:cs="仿宋_GB2312"/>
          <w:kern w:val="0"/>
          <w:sz w:val="32"/>
        </w:rPr>
        <w:t>41681</w:t>
      </w:r>
      <w:r>
        <w:rPr>
          <w:rFonts w:hint="eastAsia" w:ascii="仿宋_GB2312" w:hAnsi="宋体" w:eastAsia="仿宋_GB2312"/>
          <w:kern w:val="0"/>
          <w:sz w:val="32"/>
        </w:rPr>
        <w:t>万元的</w:t>
      </w:r>
      <w:r>
        <w:rPr>
          <w:rFonts w:hint="eastAsia" w:ascii="仿宋_GB2312" w:hAnsi="仿宋_GB2312" w:eastAsia="仿宋_GB2312" w:cs="仿宋_GB2312"/>
          <w:kern w:val="0"/>
          <w:sz w:val="32"/>
        </w:rPr>
        <w:t>99.9</w:t>
      </w:r>
      <w:r>
        <w:rPr>
          <w:rFonts w:hint="eastAsia" w:ascii="仿宋_GB2312" w:hAnsi="宋体" w:eastAsia="仿宋_GB2312"/>
          <w:kern w:val="0"/>
          <w:sz w:val="32"/>
        </w:rPr>
        <w:t>%；农林水支出</w:t>
      </w:r>
      <w:r>
        <w:rPr>
          <w:rFonts w:hint="eastAsia" w:ascii="仿宋_GB2312" w:hAnsi="仿宋_GB2312" w:eastAsia="仿宋_GB2312" w:cs="仿宋_GB2312"/>
          <w:kern w:val="0"/>
          <w:sz w:val="32"/>
        </w:rPr>
        <w:t>127188</w:t>
      </w:r>
      <w:r>
        <w:rPr>
          <w:rFonts w:hint="eastAsia" w:ascii="仿宋_GB2312" w:hAnsi="宋体" w:eastAsia="仿宋_GB2312"/>
          <w:kern w:val="0"/>
          <w:sz w:val="32"/>
        </w:rPr>
        <w:t>万元，占变动预算</w:t>
      </w:r>
      <w:r>
        <w:rPr>
          <w:rFonts w:hint="eastAsia" w:ascii="仿宋_GB2312" w:hAnsi="仿宋_GB2312" w:eastAsia="仿宋_GB2312" w:cs="仿宋_GB2312"/>
          <w:kern w:val="0"/>
          <w:sz w:val="32"/>
        </w:rPr>
        <w:t>127544</w:t>
      </w:r>
      <w:r>
        <w:rPr>
          <w:rFonts w:hint="eastAsia" w:ascii="仿宋_GB2312" w:hAnsi="宋体" w:eastAsia="仿宋_GB2312"/>
          <w:kern w:val="0"/>
          <w:sz w:val="32"/>
        </w:rPr>
        <w:t>万元的</w:t>
      </w:r>
      <w:r>
        <w:rPr>
          <w:rFonts w:hint="eastAsia" w:ascii="仿宋_GB2312" w:hAnsi="仿宋_GB2312" w:eastAsia="仿宋_GB2312" w:cs="仿宋_GB2312"/>
          <w:kern w:val="0"/>
          <w:sz w:val="32"/>
        </w:rPr>
        <w:t>99.7</w:t>
      </w:r>
      <w:r>
        <w:rPr>
          <w:rFonts w:hint="eastAsia" w:ascii="仿宋_GB2312" w:hAnsi="宋体" w:eastAsia="仿宋_GB2312"/>
          <w:kern w:val="0"/>
          <w:sz w:val="32"/>
        </w:rPr>
        <w:t>%；交通运输支出</w:t>
      </w:r>
      <w:r>
        <w:rPr>
          <w:rFonts w:hint="eastAsia" w:ascii="仿宋_GB2312" w:hAnsi="仿宋_GB2312" w:eastAsia="仿宋_GB2312" w:cs="仿宋_GB2312"/>
          <w:kern w:val="0"/>
          <w:sz w:val="32"/>
        </w:rPr>
        <w:t>8997</w:t>
      </w:r>
      <w:r>
        <w:rPr>
          <w:rFonts w:hint="eastAsia" w:ascii="仿宋_GB2312" w:hAnsi="宋体" w:eastAsia="仿宋_GB2312"/>
          <w:kern w:val="0"/>
          <w:sz w:val="32"/>
        </w:rPr>
        <w:t>万元，占变动预算</w:t>
      </w:r>
      <w:r>
        <w:rPr>
          <w:rFonts w:hint="eastAsia" w:ascii="仿宋_GB2312" w:hAnsi="仿宋_GB2312" w:eastAsia="仿宋_GB2312" w:cs="仿宋_GB2312"/>
          <w:kern w:val="0"/>
          <w:sz w:val="32"/>
        </w:rPr>
        <w:t>9039</w:t>
      </w:r>
      <w:r>
        <w:rPr>
          <w:rFonts w:hint="eastAsia" w:ascii="仿宋_GB2312" w:hAnsi="宋体" w:eastAsia="仿宋_GB2312"/>
          <w:kern w:val="0"/>
          <w:sz w:val="32"/>
        </w:rPr>
        <w:t>万元的</w:t>
      </w:r>
      <w:r>
        <w:rPr>
          <w:rFonts w:hint="eastAsia" w:ascii="仿宋_GB2312" w:hAnsi="仿宋_GB2312" w:eastAsia="仿宋_GB2312" w:cs="仿宋_GB2312"/>
          <w:kern w:val="0"/>
          <w:sz w:val="32"/>
        </w:rPr>
        <w:t>99.5</w:t>
      </w:r>
      <w:r>
        <w:rPr>
          <w:rFonts w:hint="eastAsia" w:ascii="仿宋_GB2312" w:hAnsi="宋体" w:eastAsia="仿宋_GB2312"/>
          <w:kern w:val="0"/>
          <w:sz w:val="32"/>
        </w:rPr>
        <w:t>%；商业服务业支出</w:t>
      </w:r>
      <w:r>
        <w:rPr>
          <w:rFonts w:hint="eastAsia" w:ascii="仿宋_GB2312" w:hAnsi="仿宋_GB2312" w:eastAsia="仿宋_GB2312" w:cs="仿宋_GB2312"/>
          <w:kern w:val="0"/>
          <w:sz w:val="32"/>
        </w:rPr>
        <w:t>878</w:t>
      </w:r>
      <w:r>
        <w:rPr>
          <w:rFonts w:hint="eastAsia" w:ascii="仿宋_GB2312" w:hAnsi="宋体" w:eastAsia="仿宋_GB2312"/>
          <w:kern w:val="0"/>
          <w:sz w:val="32"/>
        </w:rPr>
        <w:t>万元，占变动预算</w:t>
      </w:r>
      <w:r>
        <w:rPr>
          <w:rFonts w:hint="eastAsia" w:ascii="仿宋_GB2312" w:hAnsi="仿宋_GB2312" w:eastAsia="仿宋_GB2312" w:cs="仿宋_GB2312"/>
          <w:kern w:val="0"/>
          <w:sz w:val="32"/>
        </w:rPr>
        <w:t>922</w:t>
      </w:r>
      <w:r>
        <w:rPr>
          <w:rFonts w:hint="eastAsia" w:ascii="仿宋_GB2312" w:hAnsi="宋体" w:eastAsia="仿宋_GB2312"/>
          <w:kern w:val="0"/>
          <w:sz w:val="32"/>
        </w:rPr>
        <w:t>万元的</w:t>
      </w:r>
      <w:r>
        <w:rPr>
          <w:rFonts w:hint="eastAsia" w:ascii="仿宋_GB2312" w:hAnsi="仿宋_GB2312" w:eastAsia="仿宋_GB2312" w:cs="仿宋_GB2312"/>
          <w:kern w:val="0"/>
          <w:sz w:val="32"/>
        </w:rPr>
        <w:t>95.2</w:t>
      </w:r>
      <w:r>
        <w:rPr>
          <w:rFonts w:hint="eastAsia" w:ascii="仿宋_GB2312" w:hAnsi="宋体" w:eastAsia="仿宋_GB2312"/>
          <w:kern w:val="0"/>
          <w:sz w:val="32"/>
        </w:rPr>
        <w:t>%；自然资源气象支出2904万元，占变动预算2</w:t>
      </w:r>
      <w:r>
        <w:rPr>
          <w:rFonts w:hint="eastAsia" w:ascii="仿宋_GB2312" w:hAnsi="仿宋_GB2312" w:eastAsia="仿宋_GB2312" w:cs="仿宋_GB2312"/>
          <w:kern w:val="0"/>
          <w:sz w:val="32"/>
        </w:rPr>
        <w:t>970</w:t>
      </w:r>
      <w:r>
        <w:rPr>
          <w:rFonts w:hint="eastAsia" w:ascii="仿宋_GB2312" w:hAnsi="宋体" w:eastAsia="仿宋_GB2312"/>
          <w:kern w:val="0"/>
          <w:sz w:val="32"/>
        </w:rPr>
        <w:t>万元的</w:t>
      </w:r>
      <w:r>
        <w:rPr>
          <w:rFonts w:hint="eastAsia" w:ascii="仿宋_GB2312" w:hAnsi="仿宋_GB2312" w:eastAsia="仿宋_GB2312" w:cs="仿宋_GB2312"/>
          <w:kern w:val="0"/>
          <w:sz w:val="32"/>
        </w:rPr>
        <w:t>97.8</w:t>
      </w:r>
      <w:r>
        <w:rPr>
          <w:rFonts w:hint="eastAsia" w:ascii="仿宋_GB2312" w:hAnsi="宋体" w:eastAsia="仿宋_GB2312"/>
          <w:kern w:val="0"/>
          <w:sz w:val="32"/>
        </w:rPr>
        <w:t>%；灾害防治及应急管理1674万元，占变动预算2296万元的</w:t>
      </w:r>
      <w:r>
        <w:rPr>
          <w:rFonts w:hint="eastAsia" w:ascii="仿宋_GB2312" w:hAnsi="仿宋_GB2312" w:eastAsia="仿宋_GB2312" w:cs="仿宋_GB2312"/>
          <w:kern w:val="0"/>
          <w:sz w:val="32"/>
        </w:rPr>
        <w:t>72.9</w:t>
      </w:r>
      <w:r>
        <w:rPr>
          <w:rFonts w:hint="eastAsia" w:ascii="仿宋_GB2312" w:hAnsi="宋体" w:eastAsia="仿宋_GB2312"/>
          <w:kern w:val="0"/>
          <w:sz w:val="32"/>
        </w:rPr>
        <w:t>%。国防支出</w:t>
      </w:r>
      <w:r>
        <w:rPr>
          <w:rFonts w:hint="eastAsia" w:ascii="仿宋_GB2312" w:hAnsi="仿宋_GB2312" w:eastAsia="仿宋_GB2312" w:cs="仿宋_GB2312"/>
          <w:kern w:val="0"/>
          <w:sz w:val="32"/>
        </w:rPr>
        <w:t>455</w:t>
      </w:r>
      <w:r>
        <w:rPr>
          <w:rFonts w:hint="eastAsia" w:ascii="仿宋_GB2312" w:hAnsi="宋体" w:eastAsia="仿宋_GB2312"/>
          <w:kern w:val="0"/>
          <w:sz w:val="32"/>
        </w:rPr>
        <w:t>万元；教育支出</w:t>
      </w:r>
      <w:r>
        <w:rPr>
          <w:rFonts w:hint="eastAsia" w:ascii="仿宋_GB2312" w:hAnsi="仿宋_GB2312" w:eastAsia="仿宋_GB2312" w:cs="仿宋_GB2312"/>
          <w:kern w:val="0"/>
          <w:sz w:val="32"/>
        </w:rPr>
        <w:t>110830</w:t>
      </w:r>
      <w:r>
        <w:rPr>
          <w:rFonts w:hint="eastAsia" w:ascii="仿宋_GB2312" w:hAnsi="宋体" w:eastAsia="仿宋_GB2312"/>
          <w:kern w:val="0"/>
          <w:sz w:val="32"/>
        </w:rPr>
        <w:t>万元；文化体育与传媒支出</w:t>
      </w:r>
      <w:r>
        <w:rPr>
          <w:rFonts w:hint="eastAsia" w:ascii="仿宋_GB2312" w:hAnsi="仿宋_GB2312" w:eastAsia="仿宋_GB2312" w:cs="仿宋_GB2312"/>
          <w:kern w:val="0"/>
          <w:sz w:val="32"/>
        </w:rPr>
        <w:t>6554</w:t>
      </w:r>
      <w:r>
        <w:rPr>
          <w:rFonts w:hint="eastAsia" w:ascii="仿宋_GB2312" w:hAnsi="宋体" w:eastAsia="仿宋_GB2312"/>
          <w:kern w:val="0"/>
          <w:sz w:val="32"/>
        </w:rPr>
        <w:t>万元；卫生健康支出</w:t>
      </w:r>
      <w:r>
        <w:rPr>
          <w:rFonts w:hint="eastAsia" w:ascii="仿宋_GB2312" w:hAnsi="仿宋_GB2312" w:eastAsia="仿宋_GB2312" w:cs="仿宋_GB2312"/>
          <w:kern w:val="0"/>
          <w:sz w:val="32"/>
        </w:rPr>
        <w:t>30375</w:t>
      </w:r>
      <w:r>
        <w:rPr>
          <w:rFonts w:hint="eastAsia" w:ascii="仿宋_GB2312" w:hAnsi="宋体" w:eastAsia="仿宋_GB2312"/>
          <w:kern w:val="0"/>
          <w:sz w:val="32"/>
        </w:rPr>
        <w:t>万元；节能环保支出</w:t>
      </w:r>
      <w:r>
        <w:rPr>
          <w:rFonts w:hint="eastAsia" w:ascii="仿宋_GB2312" w:hAnsi="仿宋_GB2312" w:eastAsia="仿宋_GB2312" w:cs="仿宋_GB2312"/>
          <w:kern w:val="0"/>
          <w:sz w:val="32"/>
        </w:rPr>
        <w:t>8440</w:t>
      </w:r>
      <w:r>
        <w:rPr>
          <w:rFonts w:hint="eastAsia" w:ascii="仿宋_GB2312" w:hAnsi="宋体" w:eastAsia="仿宋_GB2312"/>
          <w:kern w:val="0"/>
          <w:sz w:val="32"/>
        </w:rPr>
        <w:t>万元；资源勘探信息支出</w:t>
      </w:r>
      <w:r>
        <w:rPr>
          <w:rFonts w:hint="eastAsia" w:ascii="仿宋_GB2312" w:hAnsi="仿宋_GB2312" w:eastAsia="仿宋_GB2312" w:cs="仿宋_GB2312"/>
          <w:kern w:val="0"/>
          <w:sz w:val="32"/>
        </w:rPr>
        <w:t>250</w:t>
      </w:r>
      <w:r>
        <w:rPr>
          <w:rFonts w:hint="eastAsia" w:ascii="仿宋_GB2312" w:hAnsi="宋体" w:eastAsia="仿宋_GB2312"/>
          <w:kern w:val="0"/>
          <w:sz w:val="32"/>
        </w:rPr>
        <w:t>万元；住房保障支出</w:t>
      </w:r>
      <w:r>
        <w:rPr>
          <w:rFonts w:hint="eastAsia" w:ascii="仿宋_GB2312" w:hAnsi="仿宋_GB2312" w:eastAsia="仿宋_GB2312" w:cs="仿宋_GB2312"/>
          <w:kern w:val="0"/>
          <w:sz w:val="32"/>
        </w:rPr>
        <w:t>11740</w:t>
      </w:r>
      <w:r>
        <w:rPr>
          <w:rFonts w:hint="eastAsia" w:ascii="仿宋_GB2312" w:hAnsi="宋体" w:eastAsia="仿宋_GB2312"/>
          <w:kern w:val="0"/>
          <w:sz w:val="32"/>
        </w:rPr>
        <w:t>万元；粮油物资储备支出</w:t>
      </w:r>
      <w:r>
        <w:rPr>
          <w:rFonts w:hint="eastAsia" w:ascii="仿宋_GB2312" w:hAnsi="仿宋_GB2312" w:eastAsia="仿宋_GB2312" w:cs="仿宋_GB2312"/>
          <w:kern w:val="0"/>
          <w:sz w:val="32"/>
        </w:rPr>
        <w:t>2824</w:t>
      </w:r>
      <w:r>
        <w:rPr>
          <w:rFonts w:hint="eastAsia" w:ascii="仿宋_GB2312" w:hAnsi="宋体" w:eastAsia="仿宋_GB2312"/>
          <w:kern w:val="0"/>
          <w:sz w:val="32"/>
        </w:rPr>
        <w:t>万元；债务付息支出4535万元；债务发行费用支出</w:t>
      </w:r>
      <w:r>
        <w:rPr>
          <w:rFonts w:hint="eastAsia" w:ascii="仿宋_GB2312" w:hAnsi="仿宋_GB2312" w:eastAsia="仿宋_GB2312" w:cs="仿宋_GB2312"/>
          <w:kern w:val="0"/>
          <w:sz w:val="32"/>
        </w:rPr>
        <w:t>14</w:t>
      </w:r>
      <w:r>
        <w:rPr>
          <w:rFonts w:hint="eastAsia" w:ascii="仿宋_GB2312" w:hAnsi="宋体" w:eastAsia="仿宋_GB2312"/>
          <w:kern w:val="0"/>
          <w:sz w:val="32"/>
        </w:rPr>
        <w:t>万元，均占变动预算的</w:t>
      </w:r>
      <w:r>
        <w:rPr>
          <w:rFonts w:hint="eastAsia" w:ascii="仿宋_GB2312" w:hAnsi="仿宋_GB2312" w:eastAsia="仿宋_GB2312" w:cs="仿宋_GB2312"/>
          <w:kern w:val="0"/>
          <w:sz w:val="32"/>
        </w:rPr>
        <w:t>100</w:t>
      </w:r>
      <w:r>
        <w:rPr>
          <w:rFonts w:hint="eastAsia" w:ascii="仿宋_GB2312" w:hAnsi="宋体" w:eastAsia="仿宋_GB2312"/>
          <w:kern w:val="0"/>
          <w:sz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2020年，全县财政工作切实强化存量资金盘活力度，全年累计收回存量资金1889万元，全部用于按原用途原项目继续使用的项目，其中：</w:t>
      </w:r>
      <w:r>
        <w:rPr>
          <w:rFonts w:ascii="仿宋_GB2312" w:hAnsi="宋体" w:eastAsia="仿宋_GB2312"/>
          <w:kern w:val="0"/>
          <w:sz w:val="32"/>
        </w:rPr>
        <w:t>会师旧址消防工程等项目</w:t>
      </w:r>
      <w:r>
        <w:rPr>
          <w:rFonts w:hint="eastAsia" w:ascii="仿宋_GB2312" w:hAnsi="宋体" w:eastAsia="仿宋_GB2312"/>
          <w:kern w:val="0"/>
          <w:sz w:val="32"/>
        </w:rPr>
        <w:t>400万元，地址灾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32"/>
        </w:rPr>
        <w:t>害治理项目115万元，土地确权登记200万元，S209线郭城镇至安定区巉口镇二级公路改建工程300万元，红军烈士陵园大墩梁陵区基础设施建设项目550万元，红军烈士陵园大墩梁陵区项目建设征收集体土地补偿284万元，光伏扶贫信息监测系统建设项目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2020年在预算执行中，通过不断强化增收节支，切实盘活财政存量资金，积极争取上级补助，一般公共预算收入完成    32901万元，转移性收入达到428504万元，新增一般债券9665万元，再融资一般债券2500万元，上年结转专项206万元，政府性基金调入309万元，动用预算稳定调节基金93万元，总收入474178元;一般公共预算支出464028万元（</w:t>
      </w:r>
      <w:r>
        <w:rPr>
          <w:rFonts w:hint="eastAsia" w:ascii="楷体_GB2312" w:hAnsi="楷体_GB2312" w:eastAsia="楷体_GB2312" w:cs="楷体_GB2312"/>
          <w:kern w:val="0"/>
          <w:sz w:val="32"/>
        </w:rPr>
        <w:t>其中消化历年暂付款109万元</w:t>
      </w:r>
      <w:r>
        <w:rPr>
          <w:rFonts w:hint="eastAsia" w:ascii="仿宋_GB2312" w:hAnsi="仿宋_GB2312" w:eastAsia="仿宋_GB2312" w:cs="仿宋_GB2312"/>
          <w:kern w:val="0"/>
          <w:sz w:val="32"/>
        </w:rPr>
        <w:t>），上解支出1900万元，债务还本支出2929万元，安排预算稳定调节基金3701万元。收支相抵年终滚存结余  1620万元（</w:t>
      </w:r>
      <w:r>
        <w:rPr>
          <w:rFonts w:hint="eastAsia" w:ascii="楷体_GB2312" w:hAnsi="楷体_GB2312" w:eastAsia="楷体_GB2312" w:cs="楷体_GB2312"/>
          <w:kern w:val="0"/>
          <w:sz w:val="32"/>
        </w:rPr>
        <w:t>结转2021年使用专项</w:t>
      </w:r>
      <w:r>
        <w:rPr>
          <w:rFonts w:hint="eastAsia" w:ascii="仿宋_GB2312" w:hAnsi="仿宋_GB2312" w:eastAsia="仿宋_GB2312" w:cs="仿宋_GB2312"/>
          <w:kern w:val="0"/>
          <w:sz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701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877B0"/>
    <w:rsid w:val="003877B0"/>
    <w:rsid w:val="003F275D"/>
    <w:rsid w:val="005522A6"/>
    <w:rsid w:val="006C3C45"/>
    <w:rsid w:val="00A15356"/>
    <w:rsid w:val="00A22B27"/>
    <w:rsid w:val="00AD74DC"/>
    <w:rsid w:val="00FD170C"/>
    <w:rsid w:val="11AF4A5E"/>
    <w:rsid w:val="26F9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Hyperlink"/>
    <w:basedOn w:val="6"/>
    <w:qFormat/>
    <w:uiPriority w:val="0"/>
    <w:rPr>
      <w:color w:val="222222"/>
      <w:u w:val="none"/>
    </w:rPr>
  </w:style>
  <w:style w:type="character" w:customStyle="1" w:styleId="10">
    <w:name w:val="tree6"/>
    <w:basedOn w:val="6"/>
    <w:qFormat/>
    <w:uiPriority w:val="0"/>
  </w:style>
  <w:style w:type="character" w:customStyle="1" w:styleId="11">
    <w:name w:val="info-icon5"/>
    <w:basedOn w:val="6"/>
    <w:qFormat/>
    <w:uiPriority w:val="0"/>
  </w:style>
  <w:style w:type="character" w:customStyle="1" w:styleId="12">
    <w:name w:val="tree5"/>
    <w:basedOn w:val="6"/>
    <w:uiPriority w:val="0"/>
  </w:style>
  <w:style w:type="character" w:customStyle="1" w:styleId="13">
    <w:name w:val="info-icon6"/>
    <w:basedOn w:val="6"/>
    <w:uiPriority w:val="0"/>
  </w:style>
  <w:style w:type="character" w:customStyle="1" w:styleId="14">
    <w:name w:val="info-icon9"/>
    <w:basedOn w:val="6"/>
    <w:uiPriority w:val="0"/>
  </w:style>
  <w:style w:type="character" w:customStyle="1" w:styleId="15">
    <w:name w:val="w2"/>
    <w:basedOn w:val="6"/>
    <w:uiPriority w:val="0"/>
  </w:style>
  <w:style w:type="character" w:customStyle="1" w:styleId="16">
    <w:name w:val="info-icon3"/>
    <w:basedOn w:val="6"/>
    <w:uiPriority w:val="0"/>
  </w:style>
  <w:style w:type="character" w:customStyle="1" w:styleId="17">
    <w:name w:val="info-icon7"/>
    <w:basedOn w:val="6"/>
    <w:uiPriority w:val="0"/>
  </w:style>
  <w:style w:type="character" w:customStyle="1" w:styleId="18">
    <w:name w:val="on"/>
    <w:basedOn w:val="6"/>
    <w:uiPriority w:val="0"/>
  </w:style>
  <w:style w:type="character" w:customStyle="1" w:styleId="19">
    <w:name w:val="info-icon1"/>
    <w:basedOn w:val="6"/>
    <w:uiPriority w:val="0"/>
  </w:style>
  <w:style w:type="character" w:customStyle="1" w:styleId="20">
    <w:name w:val="info-icon2"/>
    <w:basedOn w:val="6"/>
    <w:qFormat/>
    <w:uiPriority w:val="0"/>
  </w:style>
  <w:style w:type="character" w:customStyle="1" w:styleId="21">
    <w:name w:val="info-icon4"/>
    <w:basedOn w:val="6"/>
    <w:uiPriority w:val="0"/>
  </w:style>
  <w:style w:type="character" w:customStyle="1" w:styleId="22">
    <w:name w:val="info-icon8"/>
    <w:basedOn w:val="6"/>
    <w:qFormat/>
    <w:uiPriority w:val="0"/>
  </w:style>
  <w:style w:type="character" w:customStyle="1" w:styleId="23">
    <w:name w:val="info-icon10"/>
    <w:basedOn w:val="6"/>
    <w:qFormat/>
    <w:uiPriority w:val="0"/>
  </w:style>
  <w:style w:type="character" w:customStyle="1" w:styleId="24">
    <w:name w:val="tree3"/>
    <w:basedOn w:val="6"/>
    <w:qFormat/>
    <w:uiPriority w:val="0"/>
  </w:style>
  <w:style w:type="character" w:customStyle="1" w:styleId="25">
    <w:name w:val="tree2"/>
    <w:basedOn w:val="6"/>
    <w:qFormat/>
    <w:uiPriority w:val="0"/>
  </w:style>
  <w:style w:type="character" w:customStyle="1" w:styleId="26">
    <w:name w:val="tree4"/>
    <w:basedOn w:val="6"/>
    <w:qFormat/>
    <w:uiPriority w:val="0"/>
  </w:style>
  <w:style w:type="character" w:customStyle="1" w:styleId="27">
    <w:name w:val="hover14"/>
    <w:basedOn w:val="6"/>
    <w:qFormat/>
    <w:uiPriority w:val="0"/>
    <w:rPr>
      <w:color w:val="0D84DE"/>
    </w:rPr>
  </w:style>
  <w:style w:type="character" w:customStyle="1" w:styleId="28">
    <w:name w:val="s_op"/>
    <w:basedOn w:val="6"/>
    <w:qFormat/>
    <w:uiPriority w:val="0"/>
  </w:style>
  <w:style w:type="character" w:customStyle="1" w:styleId="29">
    <w:name w:val="s_cl"/>
    <w:basedOn w:val="6"/>
    <w:qFormat/>
    <w:uiPriority w:val="0"/>
  </w:style>
  <w:style w:type="character" w:customStyle="1" w:styleId="3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868</Characters>
  <Lines>7</Lines>
  <Paragraphs>2</Paragraphs>
  <TotalTime>9</TotalTime>
  <ScaleCrop>false</ScaleCrop>
  <LinksUpToDate>false</LinksUpToDate>
  <CharactersWithSpaces>1018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金色阳光</cp:lastModifiedBy>
  <dcterms:modified xsi:type="dcterms:W3CDTF">2021-10-12T09:59:54Z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D531A498CF6641CF9C761ED9B8A8B655</vt:lpwstr>
  </property>
</Properties>
</file>