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val="0"/>
          <w:color w:val="auto"/>
          <w:kern w:val="21"/>
          <w:sz w:val="32"/>
          <w:szCs w:val="24"/>
          <w:u w:val="none"/>
          <w:lang w:eastAsia="zh-CN"/>
        </w:rPr>
      </w:pPr>
      <w:r>
        <w:rPr>
          <w:rFonts w:hint="eastAsia" w:ascii="黑体" w:hAnsi="黑体" w:eastAsia="黑体" w:cs="黑体"/>
          <w:bCs w:val="0"/>
          <w:color w:val="auto"/>
          <w:kern w:val="21"/>
          <w:sz w:val="32"/>
          <w:szCs w:val="24"/>
          <w:u w:val="none"/>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Cs w:val="0"/>
          <w:color w:val="auto"/>
          <w:kern w:val="21"/>
          <w:sz w:val="32"/>
          <w:szCs w:val="24"/>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val="0"/>
          <w:color w:val="auto"/>
          <w:kern w:val="21"/>
          <w:sz w:val="44"/>
          <w:szCs w:val="44"/>
          <w:u w:val="none"/>
          <w:lang w:val="en-US" w:eastAsia="zh-CN"/>
        </w:rPr>
      </w:pPr>
      <w:r>
        <w:rPr>
          <w:rFonts w:hint="eastAsia" w:ascii="方正小标宋简体" w:hAnsi="方正小标宋简体" w:eastAsia="方正小标宋简体" w:cs="方正小标宋简体"/>
          <w:bCs w:val="0"/>
          <w:color w:val="auto"/>
          <w:kern w:val="21"/>
          <w:sz w:val="44"/>
          <w:szCs w:val="44"/>
          <w:u w:val="none"/>
          <w:lang w:val="en-US" w:eastAsia="zh-CN"/>
        </w:rPr>
        <w:t>平头川镇“我为群众办实事”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Times New Roman"/>
          <w:bCs w:val="0"/>
          <w:color w:val="auto"/>
          <w:kern w:val="21"/>
          <w:sz w:val="32"/>
          <w:szCs w:val="24"/>
          <w:u w:val="none"/>
        </w:rPr>
      </w:pPr>
      <w:r>
        <w:rPr>
          <w:rFonts w:hint="eastAsia" w:ascii="方正小标宋简体" w:hAnsi="方正小标宋简体" w:eastAsia="方正小标宋简体" w:cs="方正小标宋简体"/>
          <w:bCs w:val="0"/>
          <w:color w:val="auto"/>
          <w:kern w:val="21"/>
          <w:sz w:val="44"/>
          <w:szCs w:val="44"/>
          <w:u w:val="none"/>
          <w:lang w:val="en-US" w:eastAsia="zh-CN"/>
        </w:rPr>
        <w:t>实践活动重点项目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Times New Roman"/>
          <w:bCs w:val="0"/>
          <w:color w:val="auto"/>
          <w:kern w:val="21"/>
          <w:sz w:val="32"/>
          <w:szCs w:val="24"/>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eastAsia="zh-CN"/>
        </w:rPr>
      </w:pPr>
      <w:r>
        <w:rPr>
          <w:rFonts w:hint="eastAsia" w:ascii="仿宋_GB2312" w:hAnsi="仿宋_GB2312" w:eastAsia="仿宋_GB2312" w:cs="仿宋_GB2312"/>
          <w:bCs w:val="0"/>
          <w:color w:val="auto"/>
          <w:kern w:val="21"/>
          <w:sz w:val="32"/>
          <w:szCs w:val="24"/>
          <w:u w:val="none"/>
          <w:lang w:val="en-US" w:eastAsia="zh-CN"/>
        </w:rPr>
        <w:t>1</w:t>
      </w:r>
      <w:r>
        <w:rPr>
          <w:rFonts w:hint="eastAsia" w:ascii="仿宋_GB2312" w:hAnsi="仿宋_GB2312" w:eastAsia="仿宋_GB2312" w:cs="仿宋_GB2312"/>
          <w:bCs w:val="0"/>
          <w:color w:val="auto"/>
          <w:kern w:val="21"/>
          <w:sz w:val="32"/>
          <w:szCs w:val="24"/>
          <w:u w:val="none"/>
        </w:rPr>
        <w:t>.深化政务服务热线建设。健全接诉即办和督办机制，实现</w:t>
      </w:r>
      <w:r>
        <w:rPr>
          <w:rFonts w:hint="eastAsia" w:ascii="仿宋_GB2312" w:hAnsi="仿宋_GB2312" w:eastAsia="仿宋_GB2312" w:cs="仿宋_GB2312"/>
          <w:bCs w:val="0"/>
          <w:color w:val="auto"/>
          <w:kern w:val="21"/>
          <w:sz w:val="32"/>
          <w:szCs w:val="24"/>
          <w:u w:val="none"/>
          <w:lang w:eastAsia="zh-CN"/>
        </w:rPr>
        <w:t>电话</w:t>
      </w:r>
      <w:r>
        <w:rPr>
          <w:rFonts w:hint="eastAsia" w:ascii="仿宋_GB2312" w:hAnsi="仿宋_GB2312" w:eastAsia="仿宋_GB2312" w:cs="仿宋_GB2312"/>
          <w:bCs w:val="0"/>
          <w:color w:val="auto"/>
          <w:kern w:val="21"/>
          <w:sz w:val="32"/>
          <w:szCs w:val="24"/>
          <w:u w:val="none"/>
        </w:rPr>
        <w:t>受理与办理服务紧密衔接，确保群众反映的问题和合理诉求及时得到办理。</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eastAsia="zh-CN"/>
        </w:rPr>
        <w:t>责任部门：</w:t>
      </w:r>
      <w:r>
        <w:rPr>
          <w:rFonts w:hint="eastAsia" w:ascii="仿宋_GB2312" w:hAnsi="仿宋_GB2312" w:eastAsia="仿宋_GB2312" w:cs="仿宋_GB2312"/>
          <w:bCs w:val="0"/>
          <w:color w:val="auto"/>
          <w:kern w:val="21"/>
          <w:sz w:val="32"/>
          <w:szCs w:val="24"/>
          <w:u w:val="none"/>
          <w:lang w:eastAsia="zh-CN"/>
        </w:rPr>
        <w:t>党政办）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val="en-US" w:eastAsia="zh-CN"/>
        </w:rPr>
      </w:pPr>
      <w:r>
        <w:rPr>
          <w:rFonts w:hint="eastAsia" w:ascii="仿宋_GB2312" w:hAnsi="仿宋_GB2312" w:eastAsia="仿宋_GB2312" w:cs="仿宋_GB2312"/>
          <w:bCs w:val="0"/>
          <w:color w:val="auto"/>
          <w:kern w:val="21"/>
          <w:sz w:val="32"/>
          <w:szCs w:val="24"/>
          <w:u w:val="none"/>
          <w:lang w:val="en-US" w:eastAsia="zh-CN"/>
        </w:rPr>
        <w:t>2.优化提升政务服务水平。紧紧围绕优化发展环境，深入开展线上线下融合发展的政务服务，对凡与群众密切相关的审批事项及公共服务事项全部进驻政务大厅集中办理，完善政务大厅集中服务模式，提升审批服务效率。全面推行首问负责、一次告知、一窗受理、并联办理、限时办结等制度。</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eastAsia="zh-CN"/>
        </w:rPr>
        <w:t>责任部门：</w:t>
      </w:r>
      <w:r>
        <w:rPr>
          <w:rFonts w:hint="eastAsia" w:ascii="仿宋_GB2312" w:hAnsi="仿宋_GB2312" w:eastAsia="仿宋_GB2312" w:cs="仿宋_GB2312"/>
          <w:bCs w:val="0"/>
          <w:color w:val="auto"/>
          <w:kern w:val="21"/>
          <w:sz w:val="32"/>
          <w:szCs w:val="24"/>
          <w:u w:val="none"/>
          <w:lang w:val="en-US" w:eastAsia="zh-CN"/>
        </w:rPr>
        <w:t>政务（便民）服务中心</w:t>
      </w:r>
      <w:r>
        <w:rPr>
          <w:rFonts w:hint="eastAsia" w:ascii="仿宋_GB2312" w:hAnsi="仿宋_GB2312" w:eastAsia="仿宋_GB2312" w:cs="仿宋_GB2312"/>
          <w:bCs w:val="0"/>
          <w:color w:val="auto"/>
          <w:kern w:val="21"/>
          <w:sz w:val="32"/>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val="en-US" w:eastAsia="zh-CN"/>
        </w:rPr>
      </w:pPr>
      <w:r>
        <w:rPr>
          <w:rFonts w:hint="eastAsia" w:ascii="仿宋_GB2312" w:hAnsi="仿宋_GB2312" w:eastAsia="仿宋_GB2312" w:cs="仿宋_GB2312"/>
          <w:bCs w:val="0"/>
          <w:color w:val="auto"/>
          <w:kern w:val="21"/>
          <w:sz w:val="32"/>
          <w:szCs w:val="24"/>
          <w:u w:val="none"/>
          <w:lang w:val="en-US" w:eastAsia="zh-CN"/>
        </w:rPr>
        <w:t>3.加快推进易地扶贫搬迁安置住房不动产登记发证工作。督促加快登记发证进度，推动解决一批发证难、影响群众切身利益的突出问题。在短期内难以完善手续的，实行政府承诺制，办理安置住房登记，确保我镇“十三五”期间2个易地扶贫搬迁安置点96套住房不动产权证书全部颁发到位，让搬迁群众拿上“红本本”、吃上“定心丸”。（</w:t>
      </w:r>
      <w:r>
        <w:rPr>
          <w:rFonts w:hint="eastAsia" w:ascii="楷体_GB2312" w:hAnsi="楷体_GB2312" w:eastAsia="楷体_GB2312" w:cs="楷体_GB2312"/>
          <w:b/>
          <w:bCs/>
          <w:color w:val="auto"/>
          <w:kern w:val="21"/>
          <w:sz w:val="32"/>
          <w:szCs w:val="24"/>
          <w:u w:val="none"/>
          <w:lang w:val="en-US" w:eastAsia="zh-CN"/>
        </w:rPr>
        <w:t>责任部门：</w:t>
      </w:r>
      <w:r>
        <w:rPr>
          <w:rFonts w:hint="eastAsia" w:ascii="仿宋_GB2312" w:hAnsi="仿宋_GB2312" w:eastAsia="仿宋_GB2312" w:cs="仿宋_GB2312"/>
          <w:bCs w:val="0"/>
          <w:color w:val="auto"/>
          <w:kern w:val="21"/>
          <w:sz w:val="32"/>
          <w:szCs w:val="24"/>
          <w:u w:val="none"/>
          <w:lang w:val="en-US" w:eastAsia="zh-CN"/>
        </w:rPr>
        <w:t>镇扶贫站、公共事务服务中心）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eastAsia="zh-CN"/>
        </w:rPr>
      </w:pPr>
      <w:r>
        <w:rPr>
          <w:rFonts w:hint="eastAsia" w:ascii="仿宋_GB2312" w:hAnsi="仿宋_GB2312" w:eastAsia="仿宋_GB2312" w:cs="仿宋_GB2312"/>
          <w:bCs w:val="0"/>
          <w:color w:val="auto"/>
          <w:kern w:val="21"/>
          <w:sz w:val="32"/>
          <w:szCs w:val="24"/>
          <w:u w:val="none"/>
          <w:lang w:val="en-US" w:eastAsia="zh-CN"/>
        </w:rPr>
        <w:t>4.就业技能培训。通过牛肉拉面、会宁剪纸、假发制作、手工编制等培训，让搬迁群众富余的劳动力流动起来,让传统的文化活跃起来。通过联系就业单位、开展培训，切实解决搬迁群众就业难题，确保搬迁群众，每人都有一技之长、每户都有致富门路。</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eastAsia="zh-CN"/>
        </w:rPr>
        <w:t>责任部门：</w:t>
      </w:r>
      <w:r>
        <w:rPr>
          <w:rFonts w:hint="eastAsia" w:ascii="仿宋_GB2312" w:hAnsi="仿宋_GB2312" w:eastAsia="仿宋_GB2312" w:cs="仿宋_GB2312"/>
          <w:bCs w:val="0"/>
          <w:color w:val="auto"/>
          <w:kern w:val="21"/>
          <w:sz w:val="32"/>
          <w:szCs w:val="24"/>
          <w:u w:val="none"/>
          <w:lang w:val="en-US" w:eastAsia="zh-CN"/>
        </w:rPr>
        <w:t>镇扶贫站</w:t>
      </w:r>
      <w:r>
        <w:rPr>
          <w:rFonts w:hint="eastAsia" w:ascii="仿宋_GB2312" w:hAnsi="仿宋_GB2312" w:eastAsia="仿宋_GB2312" w:cs="仿宋_GB2312"/>
          <w:bCs w:val="0"/>
          <w:color w:val="auto"/>
          <w:kern w:val="21"/>
          <w:sz w:val="32"/>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eastAsia="zh-CN"/>
        </w:rPr>
      </w:pPr>
      <w:r>
        <w:rPr>
          <w:rFonts w:hint="eastAsia" w:ascii="仿宋_GB2312" w:hAnsi="仿宋_GB2312" w:eastAsia="仿宋_GB2312" w:cs="仿宋_GB2312"/>
          <w:bCs w:val="0"/>
          <w:color w:val="auto"/>
          <w:kern w:val="21"/>
          <w:sz w:val="32"/>
          <w:szCs w:val="24"/>
          <w:u w:val="none"/>
          <w:lang w:val="en-US" w:eastAsia="zh-CN"/>
        </w:rPr>
        <w:t>5.改善义务教育办学条件。</w:t>
      </w:r>
      <w:r>
        <w:rPr>
          <w:rFonts w:hint="eastAsia" w:ascii="仿宋_GB2312" w:hAnsi="仿宋_GB2312" w:eastAsia="仿宋_GB2312" w:cs="仿宋_GB2312"/>
          <w:kern w:val="2"/>
          <w:sz w:val="32"/>
          <w:szCs w:val="32"/>
          <w:u w:val="none"/>
          <w:lang w:eastAsia="zh-CN"/>
        </w:rPr>
        <w:t>加大义务教育投入力度，实现</w:t>
      </w:r>
      <w:r>
        <w:rPr>
          <w:rFonts w:hint="eastAsia" w:ascii="仿宋_GB2312" w:hAnsi="仿宋_GB2312" w:eastAsia="仿宋_GB2312" w:cs="仿宋_GB2312"/>
          <w:kern w:val="2"/>
          <w:sz w:val="32"/>
          <w:szCs w:val="32"/>
          <w:u w:val="none"/>
          <w:lang w:val="en-US" w:eastAsia="zh-CN"/>
        </w:rPr>
        <w:t>镇</w:t>
      </w:r>
      <w:r>
        <w:rPr>
          <w:rFonts w:hint="eastAsia" w:ascii="仿宋_GB2312" w:hAnsi="仿宋_GB2312" w:eastAsia="仿宋_GB2312" w:cs="仿宋_GB2312"/>
          <w:kern w:val="2"/>
          <w:sz w:val="32"/>
          <w:szCs w:val="32"/>
          <w:u w:val="none"/>
          <w:lang w:eastAsia="zh-CN"/>
        </w:rPr>
        <w:t>标准化幼儿园</w:t>
      </w:r>
      <w:r>
        <w:rPr>
          <w:rFonts w:hint="eastAsia" w:ascii="仿宋_GB2312" w:hAnsi="仿宋_GB2312" w:eastAsia="仿宋_GB2312" w:cs="仿宋_GB2312"/>
          <w:kern w:val="2"/>
          <w:sz w:val="32"/>
          <w:szCs w:val="32"/>
          <w:u w:val="none"/>
          <w:lang w:val="en-US" w:eastAsia="zh-CN"/>
        </w:rPr>
        <w:t>建设全覆盖</w:t>
      </w:r>
      <w:r>
        <w:rPr>
          <w:rFonts w:hint="eastAsia" w:ascii="仿宋_GB2312" w:hAnsi="仿宋_GB2312" w:eastAsia="仿宋_GB2312" w:cs="仿宋_GB2312"/>
          <w:kern w:val="2"/>
          <w:sz w:val="32"/>
          <w:szCs w:val="32"/>
          <w:u w:val="none"/>
        </w:rPr>
        <w:t>，</w:t>
      </w:r>
      <w:r>
        <w:rPr>
          <w:rFonts w:hint="eastAsia" w:ascii="仿宋_GB2312" w:hAnsi="仿宋_GB2312" w:eastAsia="仿宋_GB2312" w:cs="仿宋_GB2312"/>
          <w:kern w:val="2"/>
          <w:sz w:val="32"/>
          <w:szCs w:val="32"/>
          <w:u w:val="none"/>
          <w:lang w:eastAsia="zh-CN"/>
        </w:rPr>
        <w:t>进一步优化教育资源，</w:t>
      </w:r>
      <w:r>
        <w:rPr>
          <w:rFonts w:hint="eastAsia" w:ascii="仿宋_GB2312" w:hAnsi="仿宋_GB2312" w:eastAsia="仿宋_GB2312" w:cs="仿宋_GB2312"/>
          <w:kern w:val="2"/>
          <w:sz w:val="32"/>
          <w:szCs w:val="32"/>
          <w:u w:val="none"/>
        </w:rPr>
        <w:t>推进</w:t>
      </w:r>
      <w:r>
        <w:rPr>
          <w:rFonts w:hint="eastAsia" w:ascii="仿宋_GB2312" w:hAnsi="仿宋_GB2312" w:eastAsia="仿宋_GB2312" w:cs="仿宋_GB2312"/>
          <w:kern w:val="2"/>
          <w:sz w:val="32"/>
          <w:szCs w:val="32"/>
          <w:u w:val="none"/>
          <w:lang w:eastAsia="zh-CN"/>
        </w:rPr>
        <w:t>义务</w:t>
      </w:r>
      <w:r>
        <w:rPr>
          <w:rFonts w:hint="eastAsia" w:ascii="仿宋_GB2312" w:hAnsi="仿宋_GB2312" w:eastAsia="仿宋_GB2312" w:cs="仿宋_GB2312"/>
          <w:kern w:val="2"/>
          <w:sz w:val="32"/>
          <w:szCs w:val="32"/>
          <w:u w:val="none"/>
        </w:rPr>
        <w:t>教育均衡发展</w:t>
      </w:r>
      <w:r>
        <w:rPr>
          <w:rFonts w:hint="eastAsia" w:ascii="仿宋_GB2312" w:hAnsi="仿宋_GB2312" w:eastAsia="仿宋_GB2312" w:cs="仿宋_GB2312"/>
          <w:bCs w:val="0"/>
          <w:color w:val="auto"/>
          <w:kern w:val="21"/>
          <w:sz w:val="32"/>
          <w:szCs w:val="24"/>
          <w:u w:val="none"/>
          <w:lang w:val="en-US" w:eastAsia="zh-CN"/>
        </w:rPr>
        <w:t>。</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eastAsia="zh-CN"/>
        </w:rPr>
        <w:t>责任部门：</w:t>
      </w:r>
      <w:r>
        <w:rPr>
          <w:rFonts w:hint="eastAsia" w:ascii="仿宋_GB2312" w:hAnsi="仿宋_GB2312" w:eastAsia="仿宋_GB2312" w:cs="仿宋_GB2312"/>
          <w:bCs w:val="0"/>
          <w:color w:val="auto"/>
          <w:kern w:val="21"/>
          <w:sz w:val="32"/>
          <w:szCs w:val="24"/>
          <w:u w:val="none"/>
          <w:lang w:val="en-US" w:eastAsia="zh-CN"/>
        </w:rPr>
        <w:t>平头川镇</w:t>
      </w:r>
      <w:r>
        <w:rPr>
          <w:rFonts w:hint="eastAsia" w:ascii="仿宋_GB2312" w:hAnsi="仿宋_GB2312" w:eastAsia="仿宋_GB2312" w:cs="仿宋_GB2312"/>
          <w:bCs w:val="0"/>
          <w:color w:val="auto"/>
          <w:kern w:val="21"/>
          <w:sz w:val="32"/>
          <w:szCs w:val="24"/>
          <w:u w:val="none"/>
          <w:lang w:eastAsia="zh-CN"/>
        </w:rPr>
        <w:t>教管中心）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u w:val="none"/>
          <w:lang w:eastAsia="zh-CN"/>
        </w:rPr>
      </w:pPr>
      <w:r>
        <w:rPr>
          <w:rFonts w:hint="eastAsia" w:ascii="仿宋_GB2312" w:hAnsi="仿宋_GB2312" w:eastAsia="仿宋_GB2312" w:cs="仿宋_GB2312"/>
          <w:bCs w:val="0"/>
          <w:color w:val="auto"/>
          <w:kern w:val="21"/>
          <w:sz w:val="32"/>
          <w:szCs w:val="24"/>
          <w:u w:val="none"/>
          <w:lang w:val="en-US" w:eastAsia="zh-CN"/>
        </w:rPr>
        <w:t>6.开展特殊困难群体照料服务行动。加强分散特困供养人员监护照料，严格落实定期走访制度。每月定期为全镇分散特困供养人员和经济困难老年人提供环境清扫、个人卫生清洁、衣物被褥清洗、健康状况监测等上门服务，促进特殊困难群体高效便捷照护服务有效提升。</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eastAsia="zh-CN"/>
        </w:rPr>
        <w:t>责任部门：</w:t>
      </w:r>
      <w:r>
        <w:rPr>
          <w:rFonts w:hint="eastAsia" w:ascii="仿宋_GB2312" w:hAnsi="仿宋_GB2312" w:eastAsia="仿宋_GB2312" w:cs="仿宋_GB2312"/>
          <w:bCs w:val="0"/>
          <w:color w:val="auto"/>
          <w:kern w:val="21"/>
          <w:sz w:val="32"/>
          <w:szCs w:val="24"/>
          <w:u w:val="none"/>
          <w:lang w:val="en-US" w:eastAsia="zh-CN"/>
        </w:rPr>
        <w:t>公共事务服务中心</w:t>
      </w:r>
      <w:r>
        <w:rPr>
          <w:rFonts w:hint="eastAsia" w:ascii="仿宋_GB2312" w:hAnsi="仿宋_GB2312" w:eastAsia="仿宋_GB2312" w:cs="仿宋_GB2312"/>
          <w:bCs w:val="0"/>
          <w:color w:val="auto"/>
          <w:kern w:val="21"/>
          <w:sz w:val="32"/>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eastAsia="zh-CN"/>
        </w:rPr>
      </w:pPr>
      <w:r>
        <w:rPr>
          <w:rFonts w:hint="eastAsia" w:ascii="仿宋_GB2312" w:hAnsi="仿宋_GB2312" w:eastAsia="仿宋_GB2312" w:cs="仿宋_GB2312"/>
          <w:bCs w:val="0"/>
          <w:color w:val="auto"/>
          <w:kern w:val="21"/>
          <w:sz w:val="32"/>
          <w:szCs w:val="24"/>
          <w:u w:val="none"/>
          <w:lang w:val="en-US" w:eastAsia="zh-CN"/>
        </w:rPr>
        <w:t>7.促进农村劳动力转移就业。强化“培训-输转-维权”三位一体工作机制，组织实施职业技能提升行动、东西部劳务协作就业技能培训、创业培训、劳务品牌培训等项目，全年计划完成培训380人以上，输转城乡富余劳动力4300人以上（其中脱贫劳动力2300人以上），实现劳务收入3600万元；落实脱贫劳动力就近就地就业180人以上；继续发挥乡村公益性岗位就业托底安置作用，保障全镇61名从业人员稳定就业、稳定增收。(</w:t>
      </w:r>
      <w:r>
        <w:rPr>
          <w:rFonts w:hint="eastAsia" w:ascii="楷体_GB2312" w:hAnsi="楷体_GB2312" w:eastAsia="楷体_GB2312" w:cs="楷体_GB2312"/>
          <w:b/>
          <w:bCs/>
          <w:color w:val="auto"/>
          <w:kern w:val="21"/>
          <w:sz w:val="32"/>
          <w:szCs w:val="24"/>
          <w:u w:val="none"/>
          <w:lang w:val="en-US" w:eastAsia="zh-CN"/>
        </w:rPr>
        <w:t>责任部门:</w:t>
      </w:r>
      <w:r>
        <w:rPr>
          <w:rFonts w:hint="eastAsia" w:ascii="仿宋_GB2312" w:hAnsi="仿宋_GB2312" w:eastAsia="仿宋_GB2312" w:cs="仿宋_GB2312"/>
          <w:bCs w:val="0"/>
          <w:color w:val="auto"/>
          <w:kern w:val="21"/>
          <w:sz w:val="32"/>
          <w:szCs w:val="24"/>
          <w:u w:val="none"/>
          <w:lang w:val="en-US" w:eastAsia="zh-CN"/>
        </w:rPr>
        <w:t>镇劳务办)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rPr>
      </w:pPr>
      <w:r>
        <w:rPr>
          <w:rFonts w:hint="eastAsia" w:ascii="仿宋_GB2312" w:hAnsi="仿宋_GB2312" w:eastAsia="仿宋_GB2312" w:cs="仿宋_GB2312"/>
          <w:bCs w:val="0"/>
          <w:color w:val="auto"/>
          <w:kern w:val="21"/>
          <w:sz w:val="32"/>
          <w:szCs w:val="24"/>
          <w:u w:val="none"/>
          <w:lang w:val="en-US" w:eastAsia="zh-CN"/>
        </w:rPr>
        <w:t>8.依法治理拖欠农民工工资问题。贯彻落实《保障农民工工资支付条例》，依法治理欠薪问题；完善劳动关系三方协调机制，持续开展和谐劳动关系创建工作，加强基层调解组织建设，做好“互联网+调解”工作。(</w:t>
      </w:r>
      <w:r>
        <w:rPr>
          <w:rFonts w:hint="eastAsia" w:ascii="楷体_GB2312" w:hAnsi="楷体_GB2312" w:eastAsia="楷体_GB2312" w:cs="楷体_GB2312"/>
          <w:b/>
          <w:bCs/>
          <w:color w:val="auto"/>
          <w:kern w:val="21"/>
          <w:sz w:val="32"/>
          <w:szCs w:val="24"/>
          <w:u w:val="none"/>
          <w:lang w:val="en-US" w:eastAsia="zh-CN"/>
        </w:rPr>
        <w:t>责任部门:</w:t>
      </w:r>
      <w:r>
        <w:rPr>
          <w:rFonts w:hint="eastAsia" w:ascii="仿宋_GB2312" w:hAnsi="仿宋_GB2312" w:eastAsia="仿宋_GB2312" w:cs="仿宋_GB2312"/>
          <w:bCs w:val="0"/>
          <w:color w:val="auto"/>
          <w:kern w:val="21"/>
          <w:sz w:val="32"/>
          <w:szCs w:val="24"/>
          <w:u w:val="none"/>
          <w:lang w:val="en-US" w:eastAsia="zh-CN"/>
        </w:rPr>
        <w:t>镇劳务办)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eastAsia="zh-CN"/>
        </w:rPr>
      </w:pPr>
      <w:r>
        <w:rPr>
          <w:rFonts w:hint="eastAsia" w:ascii="仿宋_GB2312" w:hAnsi="仿宋_GB2312" w:eastAsia="仿宋_GB2312" w:cs="仿宋_GB2312"/>
          <w:bCs w:val="0"/>
          <w:color w:val="auto"/>
          <w:kern w:val="21"/>
          <w:sz w:val="32"/>
          <w:szCs w:val="24"/>
          <w:u w:val="none"/>
          <w:lang w:val="en-US" w:eastAsia="zh-CN"/>
        </w:rPr>
        <w:t>9.实施农村厕所革命。2021年改建新建农村户厕600个。</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eastAsia="zh-CN"/>
        </w:rPr>
        <w:t>责任部门：</w:t>
      </w:r>
      <w:r>
        <w:rPr>
          <w:rFonts w:hint="eastAsia" w:ascii="仿宋_GB2312" w:hAnsi="仿宋_GB2312" w:eastAsia="仿宋_GB2312" w:cs="仿宋_GB2312"/>
          <w:bCs w:val="0"/>
          <w:color w:val="auto"/>
          <w:kern w:val="21"/>
          <w:sz w:val="32"/>
          <w:szCs w:val="24"/>
          <w:u w:val="none"/>
          <w:lang w:val="en-US" w:eastAsia="zh-CN"/>
        </w:rPr>
        <w:t>农业综合服务中心</w:t>
      </w:r>
      <w:r>
        <w:rPr>
          <w:rFonts w:hint="eastAsia" w:ascii="仿宋_GB2312" w:hAnsi="仿宋_GB2312" w:eastAsia="仿宋_GB2312" w:cs="仿宋_GB2312"/>
          <w:bCs w:val="0"/>
          <w:color w:val="auto"/>
          <w:kern w:val="21"/>
          <w:sz w:val="32"/>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val="en-US" w:eastAsia="zh-CN"/>
        </w:rPr>
      </w:pPr>
      <w:r>
        <w:rPr>
          <w:rFonts w:hint="eastAsia" w:ascii="仿宋_GB2312" w:hAnsi="仿宋_GB2312" w:eastAsia="仿宋_GB2312" w:cs="仿宋_GB2312"/>
          <w:bCs w:val="0"/>
          <w:color w:val="auto"/>
          <w:kern w:val="21"/>
          <w:sz w:val="32"/>
          <w:szCs w:val="24"/>
          <w:u w:val="none"/>
          <w:lang w:val="en-US" w:eastAsia="zh-CN"/>
        </w:rPr>
        <w:t>10.实施雨露计划职业教育项目。主要针对已脱贫家庭接受职业教育的学生，每生每年补助3000元，引导和支持农村脱贫家庭新成长劳动力接受职业教育，促进稳定就业。（</w:t>
      </w:r>
      <w:r>
        <w:rPr>
          <w:rFonts w:hint="eastAsia" w:ascii="楷体_GB2312" w:hAnsi="楷体_GB2312" w:eastAsia="楷体_GB2312" w:cs="楷体_GB2312"/>
          <w:b/>
          <w:bCs/>
          <w:color w:val="auto"/>
          <w:kern w:val="21"/>
          <w:sz w:val="32"/>
          <w:szCs w:val="24"/>
          <w:u w:val="none"/>
          <w:lang w:eastAsia="zh-CN"/>
        </w:rPr>
        <w:t>责任部门：</w:t>
      </w:r>
      <w:r>
        <w:rPr>
          <w:rFonts w:hint="eastAsia" w:ascii="仿宋_GB2312" w:hAnsi="仿宋_GB2312" w:eastAsia="仿宋_GB2312" w:cs="仿宋_GB2312"/>
          <w:bCs w:val="0"/>
          <w:color w:val="auto"/>
          <w:kern w:val="21"/>
          <w:sz w:val="32"/>
          <w:szCs w:val="24"/>
          <w:u w:val="none"/>
          <w:lang w:val="en-US" w:eastAsia="zh-CN"/>
        </w:rPr>
        <w:t>镇扶贫站）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bCs w:val="0"/>
          <w:color w:val="auto"/>
          <w:kern w:val="21"/>
          <w:sz w:val="32"/>
          <w:szCs w:val="24"/>
          <w:lang w:val="en-US" w:eastAsia="zh-CN" w:bidi="ar-SA"/>
        </w:rPr>
      </w:pPr>
      <w:r>
        <w:rPr>
          <w:rFonts w:hint="eastAsia" w:ascii="仿宋_GB2312" w:hAnsi="仿宋_GB2312" w:eastAsia="仿宋_GB2312" w:cs="仿宋_GB2312"/>
          <w:bCs w:val="0"/>
          <w:color w:val="auto"/>
          <w:kern w:val="21"/>
          <w:sz w:val="32"/>
          <w:szCs w:val="24"/>
          <w:lang w:val="en-US" w:eastAsia="zh-CN" w:bidi="ar-SA"/>
        </w:rPr>
        <w:t>11.配合实施全县国家电子商务进农村综合示范（升级版）项目，不断完善乡村两级电子商务公共服务体系，开展电子商务培训，推动“电商+三农”“电商+直播”“电商+物流”“电商+跨境”等电商新业态发展。（</w:t>
      </w:r>
      <w:r>
        <w:rPr>
          <w:rFonts w:hint="eastAsia" w:ascii="楷体_GB2312" w:hAnsi="楷体_GB2312" w:eastAsia="楷体_GB2312" w:cs="楷体_GB2312"/>
          <w:b/>
          <w:bCs/>
          <w:color w:val="auto"/>
          <w:kern w:val="21"/>
          <w:sz w:val="32"/>
          <w:szCs w:val="24"/>
          <w:lang w:val="en-US" w:eastAsia="zh-CN" w:bidi="ar-SA"/>
        </w:rPr>
        <w:t>责任部门：</w:t>
      </w:r>
      <w:r>
        <w:rPr>
          <w:rFonts w:hint="eastAsia" w:ascii="仿宋_GB2312" w:hAnsi="仿宋_GB2312" w:eastAsia="仿宋_GB2312" w:cs="仿宋_GB2312"/>
          <w:bCs w:val="0"/>
          <w:color w:val="auto"/>
          <w:kern w:val="21"/>
          <w:sz w:val="32"/>
          <w:szCs w:val="24"/>
          <w:lang w:val="en-US" w:eastAsia="zh-CN" w:bidi="ar-SA"/>
        </w:rPr>
        <w:t>镇政府）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rPr>
      </w:pPr>
      <w:r>
        <w:rPr>
          <w:rFonts w:hint="eastAsia" w:ascii="仿宋_GB2312" w:hAnsi="仿宋_GB2312" w:eastAsia="仿宋_GB2312" w:cs="仿宋_GB2312"/>
          <w:bCs w:val="0"/>
          <w:color w:val="auto"/>
          <w:kern w:val="21"/>
          <w:sz w:val="32"/>
          <w:szCs w:val="24"/>
          <w:u w:val="none"/>
          <w:lang w:val="en-US" w:eastAsia="zh-CN"/>
        </w:rPr>
        <w:t>12.开展文化进万家活动。协调和组织广大文化文艺工作者，创作推出一批人民群众喜闻乐见的文化文艺产品，实施系列惠民、为民、乐民的文化服务项目，开展各类群众性文化活动，做好送文化下基层工作。</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eastAsia="zh-CN"/>
        </w:rPr>
        <w:t>责任部门：</w:t>
      </w:r>
      <w:r>
        <w:rPr>
          <w:rFonts w:hint="eastAsia" w:ascii="仿宋_GB2312" w:hAnsi="仿宋_GB2312" w:eastAsia="仿宋_GB2312" w:cs="仿宋_GB2312"/>
          <w:bCs w:val="0"/>
          <w:color w:val="auto"/>
          <w:kern w:val="21"/>
          <w:sz w:val="32"/>
          <w:szCs w:val="24"/>
          <w:u w:val="none"/>
          <w:lang w:eastAsia="zh-CN"/>
        </w:rPr>
        <w:t>政务（便民）服务中心）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val="en-US" w:eastAsia="zh-CN"/>
        </w:rPr>
      </w:pPr>
      <w:r>
        <w:rPr>
          <w:rFonts w:hint="eastAsia" w:ascii="仿宋_GB2312" w:hAnsi="仿宋_GB2312" w:eastAsia="仿宋_GB2312" w:cs="仿宋_GB2312"/>
          <w:bCs w:val="0"/>
          <w:color w:val="auto"/>
          <w:kern w:val="21"/>
          <w:sz w:val="32"/>
          <w:szCs w:val="24"/>
          <w:u w:val="none"/>
          <w:lang w:val="en-US" w:eastAsia="zh-CN"/>
        </w:rPr>
        <w:t>13.优化慢病门诊服务。年底前提供慢病门诊服务，整合便民门诊、全科诊疗、门诊结算等资源，为居民提供慢病诊疗、复诊开药等一站式服务。（</w:t>
      </w:r>
      <w:r>
        <w:rPr>
          <w:rFonts w:hint="eastAsia" w:ascii="楷体_GB2312" w:hAnsi="楷体_GB2312" w:eastAsia="楷体_GB2312" w:cs="楷体_GB2312"/>
          <w:b/>
          <w:bCs/>
          <w:color w:val="auto"/>
          <w:kern w:val="21"/>
          <w:sz w:val="32"/>
          <w:szCs w:val="24"/>
          <w:u w:val="none"/>
          <w:lang w:val="en-US" w:eastAsia="zh-CN"/>
        </w:rPr>
        <w:t>责任部门：</w:t>
      </w:r>
      <w:r>
        <w:rPr>
          <w:rFonts w:hint="eastAsia" w:ascii="仿宋_GB2312" w:hAnsi="仿宋_GB2312" w:eastAsia="仿宋_GB2312" w:cs="仿宋_GB2312"/>
          <w:bCs w:val="0"/>
          <w:color w:val="auto"/>
          <w:kern w:val="21"/>
          <w:sz w:val="32"/>
          <w:szCs w:val="24"/>
          <w:u w:val="none"/>
          <w:lang w:val="en-US" w:eastAsia="zh-CN"/>
        </w:rPr>
        <w:t>镇卫生院）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u w:val="none"/>
          <w:lang w:eastAsia="zh-CN"/>
        </w:rPr>
      </w:pPr>
      <w:r>
        <w:rPr>
          <w:rFonts w:hint="eastAsia" w:ascii="仿宋_GB2312" w:hAnsi="仿宋_GB2312" w:eastAsia="仿宋_GB2312" w:cs="仿宋_GB2312"/>
          <w:bCs w:val="0"/>
          <w:color w:val="auto"/>
          <w:kern w:val="21"/>
          <w:sz w:val="32"/>
          <w:szCs w:val="24"/>
          <w:u w:val="none"/>
          <w:lang w:val="en-US" w:eastAsia="zh-CN"/>
        </w:rPr>
        <w:t>14.开展疫苗接种达标服务。细化工作，责任到人，确保疫苗接种工作安全有序开展，辖区居民群众对新冠疫苗“应知尽知”“应接尽接”，优化疫苗接种流程、提供人性化服务，争取年底前疫苗接种率达到70%以上，早日构筑群体免疫屏障。</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val="en-US" w:eastAsia="zh-CN"/>
        </w:rPr>
        <w:t>责任部门：</w:t>
      </w:r>
      <w:r>
        <w:rPr>
          <w:rFonts w:hint="eastAsia" w:ascii="仿宋_GB2312" w:hAnsi="仿宋_GB2312" w:eastAsia="仿宋_GB2312" w:cs="仿宋_GB2312"/>
          <w:bCs w:val="0"/>
          <w:color w:val="auto"/>
          <w:kern w:val="21"/>
          <w:sz w:val="32"/>
          <w:szCs w:val="24"/>
          <w:u w:val="none"/>
          <w:lang w:val="en-US" w:eastAsia="zh-CN"/>
        </w:rPr>
        <w:t>镇疫情联防联控办公室、镇卫生院</w:t>
      </w:r>
      <w:r>
        <w:rPr>
          <w:rFonts w:hint="eastAsia" w:ascii="仿宋_GB2312" w:hAnsi="仿宋_GB2312" w:eastAsia="仿宋_GB2312" w:cs="仿宋_GB2312"/>
          <w:bCs w:val="0"/>
          <w:color w:val="auto"/>
          <w:kern w:val="21"/>
          <w:sz w:val="32"/>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val="en-US" w:eastAsia="zh-CN"/>
        </w:rPr>
      </w:pPr>
      <w:r>
        <w:rPr>
          <w:rFonts w:hint="eastAsia" w:ascii="仿宋_GB2312" w:hAnsi="仿宋_GB2312" w:eastAsia="仿宋_GB2312" w:cs="仿宋_GB2312"/>
          <w:bCs w:val="0"/>
          <w:color w:val="auto"/>
          <w:kern w:val="21"/>
          <w:sz w:val="32"/>
          <w:szCs w:val="24"/>
          <w:u w:val="none"/>
          <w:lang w:val="en-US" w:eastAsia="zh-CN"/>
        </w:rPr>
        <w:t>15.平头川镇卫生院预检分诊新标准化建设。在平头川镇卫生院实施预检分诊新标准化建设，对来诊患者预先进行有关传染病方面的甄别、检查与分流，保证患者安全，提高工作效率。（</w:t>
      </w:r>
      <w:r>
        <w:rPr>
          <w:rFonts w:hint="eastAsia" w:ascii="楷体_GB2312" w:hAnsi="楷体_GB2312" w:eastAsia="楷体_GB2312" w:cs="楷体_GB2312"/>
          <w:b/>
          <w:bCs/>
          <w:color w:val="auto"/>
          <w:kern w:val="21"/>
          <w:sz w:val="32"/>
          <w:szCs w:val="24"/>
          <w:u w:val="none"/>
          <w:lang w:val="en-US" w:eastAsia="zh-CN"/>
        </w:rPr>
        <w:t>责任部门：</w:t>
      </w:r>
      <w:r>
        <w:rPr>
          <w:rFonts w:hint="eastAsia" w:ascii="仿宋_GB2312" w:hAnsi="仿宋_GB2312" w:eastAsia="仿宋_GB2312" w:cs="仿宋_GB2312"/>
          <w:bCs w:val="0"/>
          <w:color w:val="auto"/>
          <w:kern w:val="21"/>
          <w:sz w:val="32"/>
          <w:szCs w:val="24"/>
          <w:u w:val="none"/>
          <w:lang w:val="en-US" w:eastAsia="zh-CN"/>
        </w:rPr>
        <w:t>平头川镇卫生院）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u w:val="none"/>
          <w:lang w:val="en-US" w:eastAsia="zh-CN"/>
        </w:rPr>
      </w:pPr>
      <w:r>
        <w:rPr>
          <w:rFonts w:hint="eastAsia" w:ascii="仿宋_GB2312" w:hAnsi="仿宋_GB2312" w:eastAsia="仿宋_GB2312" w:cs="仿宋_GB2312"/>
          <w:bCs w:val="0"/>
          <w:color w:val="auto"/>
          <w:kern w:val="21"/>
          <w:sz w:val="32"/>
          <w:szCs w:val="24"/>
          <w:u w:val="none"/>
          <w:lang w:val="en-US" w:eastAsia="zh-CN"/>
        </w:rPr>
        <w:t>16.检查检验报告手机</w:t>
      </w:r>
      <w:r>
        <w:rPr>
          <w:rFonts w:hint="eastAsia" w:ascii="仿宋_GB2312" w:hAnsi="仿宋_GB2312" w:eastAsia="仿宋_GB2312" w:cs="仿宋_GB2312"/>
          <w:b w:val="0"/>
          <w:bCs w:val="0"/>
          <w:color w:val="auto"/>
          <w:kern w:val="21"/>
          <w:sz w:val="32"/>
          <w:szCs w:val="24"/>
          <w:u w:val="none"/>
          <w:lang w:val="en-US" w:eastAsia="zh-CN" w:bidi="ar-SA"/>
        </w:rPr>
        <w:t>查询服务。配合建设会宁县检查检验结果信息共享交换系统，2021年底实现</w:t>
      </w:r>
      <w:r>
        <w:rPr>
          <w:rFonts w:hint="eastAsia" w:ascii="仿宋_GB2312" w:hAnsi="仿宋_GB2312" w:eastAsia="仿宋_GB2312" w:cs="仿宋_GB2312"/>
          <w:bCs w:val="0"/>
          <w:color w:val="auto"/>
          <w:kern w:val="21"/>
          <w:sz w:val="32"/>
          <w:szCs w:val="24"/>
          <w:u w:val="none"/>
          <w:lang w:val="en-US" w:eastAsia="zh-CN"/>
        </w:rPr>
        <w:t>平头川镇卫生院</w:t>
      </w:r>
      <w:r>
        <w:rPr>
          <w:rFonts w:hint="eastAsia" w:ascii="仿宋_GB2312" w:hAnsi="仿宋_GB2312" w:eastAsia="仿宋_GB2312" w:cs="仿宋_GB2312"/>
          <w:b w:val="0"/>
          <w:bCs w:val="0"/>
          <w:color w:val="auto"/>
          <w:kern w:val="21"/>
          <w:sz w:val="32"/>
          <w:szCs w:val="24"/>
          <w:u w:val="none"/>
          <w:lang w:val="en-US" w:eastAsia="zh-CN" w:bidi="ar-SA"/>
        </w:rPr>
        <w:t>、检查检验设备或信息系统与实际全民健康信息系统平台对接，居民就医时影像、心电、B超等检验结果可通过手机实时查询。</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val="en-US" w:eastAsia="zh-CN"/>
        </w:rPr>
        <w:t>责任部门：</w:t>
      </w:r>
      <w:r>
        <w:rPr>
          <w:rFonts w:hint="eastAsia" w:ascii="仿宋_GB2312" w:hAnsi="仿宋_GB2312" w:eastAsia="仿宋_GB2312" w:cs="仿宋_GB2312"/>
          <w:bCs w:val="0"/>
          <w:color w:val="auto"/>
          <w:kern w:val="21"/>
          <w:sz w:val="32"/>
          <w:szCs w:val="24"/>
          <w:u w:val="none"/>
          <w:lang w:val="en-US" w:eastAsia="zh-CN"/>
        </w:rPr>
        <w:t>平头川镇卫生院）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1"/>
          <w:sz w:val="32"/>
          <w:szCs w:val="24"/>
          <w:u w:val="none"/>
          <w:lang w:val="en-US" w:eastAsia="zh-CN" w:bidi="ar-SA"/>
        </w:rPr>
      </w:pPr>
      <w:r>
        <w:rPr>
          <w:rFonts w:hint="eastAsia" w:ascii="仿宋_GB2312" w:hAnsi="仿宋_GB2312" w:eastAsia="仿宋_GB2312" w:cs="仿宋_GB2312"/>
          <w:b w:val="0"/>
          <w:bCs w:val="0"/>
          <w:color w:val="auto"/>
          <w:kern w:val="21"/>
          <w:sz w:val="32"/>
          <w:szCs w:val="24"/>
          <w:u w:val="none"/>
          <w:lang w:val="en-US" w:eastAsia="zh-CN" w:bidi="ar-SA"/>
        </w:rPr>
        <w:t>17.选优配强生态护林员、草管员，及时落实补助资金。2021年，为27名在岗生态护林员、草管员落实工资报酬。</w:t>
      </w:r>
      <w:r>
        <w:rPr>
          <w:rFonts w:hint="eastAsia" w:ascii="仿宋_GB2312" w:hAnsi="仿宋_GB2312" w:eastAsia="仿宋_GB2312" w:cs="仿宋_GB2312"/>
          <w:bCs w:val="0"/>
          <w:color w:val="auto"/>
          <w:kern w:val="21"/>
          <w:sz w:val="32"/>
          <w:szCs w:val="24"/>
          <w:u w:val="none"/>
          <w:lang w:val="en-US" w:eastAsia="zh-CN"/>
        </w:rPr>
        <w:t>（</w:t>
      </w:r>
      <w:r>
        <w:rPr>
          <w:rFonts w:hint="eastAsia" w:ascii="楷体_GB2312" w:hAnsi="楷体_GB2312" w:eastAsia="楷体_GB2312" w:cs="楷体_GB2312"/>
          <w:b/>
          <w:bCs/>
          <w:color w:val="auto"/>
          <w:kern w:val="21"/>
          <w:sz w:val="32"/>
          <w:szCs w:val="24"/>
          <w:u w:val="none"/>
          <w:lang w:val="en-US" w:eastAsia="zh-CN"/>
        </w:rPr>
        <w:t>责任部门：</w:t>
      </w:r>
      <w:r>
        <w:rPr>
          <w:rFonts w:hint="eastAsia" w:ascii="仿宋_GB2312" w:hAnsi="仿宋_GB2312" w:eastAsia="仿宋_GB2312" w:cs="仿宋_GB2312"/>
          <w:bCs w:val="0"/>
          <w:color w:val="auto"/>
          <w:kern w:val="21"/>
          <w:sz w:val="32"/>
          <w:szCs w:val="24"/>
          <w:u w:val="none"/>
          <w:lang w:val="en-US" w:eastAsia="zh-CN"/>
        </w:rPr>
        <w:t>农业综合服务中心）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eastAsia="zh-CN"/>
        </w:rPr>
      </w:pPr>
      <w:r>
        <w:rPr>
          <w:rFonts w:hint="eastAsia" w:ascii="仿宋_GB2312" w:hAnsi="仿宋_GB2312" w:eastAsia="仿宋_GB2312" w:cs="仿宋_GB2312"/>
          <w:b w:val="0"/>
          <w:bCs w:val="0"/>
          <w:color w:val="auto"/>
          <w:kern w:val="21"/>
          <w:sz w:val="32"/>
          <w:szCs w:val="24"/>
          <w:u w:val="none"/>
          <w:lang w:val="en-US" w:eastAsia="zh-CN" w:bidi="ar-SA"/>
        </w:rPr>
        <w:t>18.“巾帼家美积分超市”创建活动。开展“巾帼家美积分超市”创建活动，引导广大妇女和家庭积极参与“巾帼共建美丽家园清洁行动”，开展“最美家庭”“文明家庭”创建等活动，推动形成弘扬文明新风、净化美化环境的良好风尚。</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val="en-US" w:eastAsia="zh-CN"/>
        </w:rPr>
        <w:t>责任部门：</w:t>
      </w:r>
      <w:r>
        <w:rPr>
          <w:rFonts w:hint="eastAsia" w:ascii="仿宋_GB2312" w:hAnsi="仿宋_GB2312" w:eastAsia="仿宋_GB2312" w:cs="仿宋_GB2312"/>
          <w:bCs w:val="0"/>
          <w:color w:val="auto"/>
          <w:kern w:val="21"/>
          <w:sz w:val="32"/>
          <w:szCs w:val="24"/>
          <w:u w:val="none"/>
          <w:lang w:eastAsia="zh-CN"/>
        </w:rPr>
        <w:t>镇妇联）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eastAsia="zh-CN"/>
        </w:rPr>
      </w:pPr>
      <w:r>
        <w:rPr>
          <w:rFonts w:hint="eastAsia" w:ascii="仿宋_GB2312" w:hAnsi="仿宋_GB2312" w:eastAsia="仿宋_GB2312" w:cs="仿宋_GB2312"/>
          <w:b w:val="0"/>
          <w:bCs w:val="0"/>
          <w:color w:val="auto"/>
          <w:kern w:val="21"/>
          <w:sz w:val="32"/>
          <w:szCs w:val="24"/>
          <w:u w:val="none"/>
          <w:lang w:val="en-US" w:eastAsia="zh-CN" w:bidi="ar-SA"/>
        </w:rPr>
        <w:t>19.开展“两癌”免费检查。对全镇33—64岁城乡低收入妇女以及未参加2018-2020年为民办实事“两癌”检查的农村妇女进行“两癌”免费检查。</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val="en-US" w:eastAsia="zh-CN"/>
        </w:rPr>
        <w:t>责任部门：</w:t>
      </w:r>
      <w:r>
        <w:rPr>
          <w:rFonts w:hint="eastAsia" w:ascii="仿宋_GB2312" w:hAnsi="仿宋_GB2312" w:eastAsia="仿宋_GB2312" w:cs="仿宋_GB2312"/>
          <w:bCs w:val="0"/>
          <w:color w:val="auto"/>
          <w:kern w:val="21"/>
          <w:sz w:val="32"/>
          <w:szCs w:val="24"/>
          <w:u w:val="none"/>
          <w:lang w:val="en-US" w:eastAsia="zh-CN"/>
        </w:rPr>
        <w:t>平头川镇卫生院</w:t>
      </w:r>
      <w:r>
        <w:rPr>
          <w:rFonts w:hint="eastAsia" w:ascii="仿宋_GB2312" w:hAnsi="仿宋_GB2312" w:eastAsia="仿宋_GB2312" w:cs="仿宋_GB2312"/>
          <w:bCs w:val="0"/>
          <w:color w:val="auto"/>
          <w:kern w:val="21"/>
          <w:sz w:val="32"/>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val="0"/>
          <w:color w:val="auto"/>
          <w:kern w:val="21"/>
          <w:sz w:val="32"/>
          <w:szCs w:val="24"/>
          <w:u w:val="none"/>
          <w:lang w:eastAsia="zh-CN"/>
        </w:rPr>
      </w:pPr>
      <w:r>
        <w:rPr>
          <w:rFonts w:hint="eastAsia" w:ascii="仿宋_GB2312" w:hAnsi="仿宋_GB2312" w:eastAsia="仿宋_GB2312" w:cs="仿宋_GB2312"/>
          <w:b w:val="0"/>
          <w:bCs w:val="0"/>
          <w:color w:val="auto"/>
          <w:kern w:val="21"/>
          <w:sz w:val="32"/>
          <w:szCs w:val="24"/>
          <w:u w:val="none"/>
          <w:lang w:val="en-US" w:eastAsia="zh-CN" w:bidi="ar-SA"/>
        </w:rPr>
        <w:t>20.实施妇女就业技能培训项目。主要开展家政服务、养老护理、美容美发等技能培训，以提高全镇农村妇女就业技能。</w:t>
      </w:r>
      <w:r>
        <w:rPr>
          <w:rFonts w:hint="eastAsia" w:ascii="仿宋_GB2312" w:hAnsi="仿宋_GB2312" w:eastAsia="仿宋_GB2312" w:cs="仿宋_GB2312"/>
          <w:bCs w:val="0"/>
          <w:color w:val="auto"/>
          <w:kern w:val="21"/>
          <w:sz w:val="32"/>
          <w:szCs w:val="24"/>
          <w:u w:val="none"/>
          <w:lang w:eastAsia="zh-CN"/>
        </w:rPr>
        <w:t>（</w:t>
      </w:r>
      <w:r>
        <w:rPr>
          <w:rFonts w:hint="eastAsia" w:ascii="楷体_GB2312" w:hAnsi="楷体_GB2312" w:eastAsia="楷体_GB2312" w:cs="楷体_GB2312"/>
          <w:b/>
          <w:bCs/>
          <w:color w:val="auto"/>
          <w:kern w:val="21"/>
          <w:sz w:val="32"/>
          <w:szCs w:val="24"/>
          <w:u w:val="none"/>
          <w:lang w:val="en-US" w:eastAsia="zh-CN"/>
        </w:rPr>
        <w:t>责任部门：</w:t>
      </w:r>
      <w:r>
        <w:rPr>
          <w:rFonts w:hint="eastAsia" w:ascii="仿宋_GB2312" w:hAnsi="仿宋_GB2312" w:eastAsia="仿宋_GB2312" w:cs="仿宋_GB2312"/>
          <w:bCs w:val="0"/>
          <w:color w:val="auto"/>
          <w:kern w:val="21"/>
          <w:sz w:val="32"/>
          <w:szCs w:val="24"/>
          <w:u w:val="none"/>
          <w:lang w:eastAsia="zh-CN"/>
        </w:rPr>
        <w:t>镇妇联）</w:t>
      </w: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ind w:left="0" w:leftChars="0"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ind w:left="0" w:leftChars="0"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ind w:left="0" w:leftChars="0"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ind w:left="0" w:leftChars="0"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ind w:left="0" w:leftChars="0"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ind w:left="0" w:leftChars="0"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ind w:left="0" w:leftChars="0"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ind w:left="0" w:leftChars="0"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ind w:left="0" w:leftChars="0"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ind w:left="0" w:leftChars="0" w:firstLine="640" w:firstLineChars="200"/>
        <w:jc w:val="both"/>
        <w:textAlignment w:val="auto"/>
        <w:rPr>
          <w:rFonts w:hint="eastAsia" w:ascii="仿宋_GB2312" w:hAnsi="Calibri" w:eastAsia="仿宋_GB2312" w:cs="Times New Roman"/>
          <w:kern w:val="2"/>
          <w:sz w:val="32"/>
          <w:szCs w:val="32"/>
          <w:lang w:val="en-US" w:eastAsia="zh-CN" w:bidi="ar-SA"/>
        </w:rPr>
      </w:pPr>
    </w:p>
    <w:p>
      <w:pPr>
        <w:keepNext w:val="0"/>
        <w:keepLines w:val="0"/>
        <w:pageBreakBefore w:val="0"/>
        <w:widowControl w:val="0"/>
        <w:numPr>
          <w:ilvl w:val="0"/>
          <w:numId w:val="0"/>
        </w:numPr>
        <w:pBdr>
          <w:bottom w:val="single" w:color="auto" w:sz="4" w:space="0"/>
        </w:pBdr>
        <w:kinsoku/>
        <w:wordWrap/>
        <w:overflowPunct w:val="0"/>
        <w:topLinePunct w:val="0"/>
        <w:autoSpaceDE/>
        <w:autoSpaceDN/>
        <w:bidi w:val="0"/>
        <w:adjustRightInd/>
        <w:snapToGrid/>
        <w:spacing w:after="0" w:line="576" w:lineRule="exact"/>
        <w:jc w:val="both"/>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        </w:t>
      </w:r>
    </w:p>
    <w:p>
      <w:pPr>
        <w:pStyle w:val="6"/>
        <w:keepNext w:val="0"/>
        <w:keepLines w:val="0"/>
        <w:pageBreakBefore w:val="0"/>
        <w:pBdr>
          <w:bottom w:val="single" w:color="auto" w:sz="12" w:space="0"/>
        </w:pBdr>
        <w:kinsoku/>
        <w:wordWrap/>
        <w:overflowPunct/>
        <w:topLinePunct w:val="0"/>
        <w:autoSpaceDE/>
        <w:autoSpaceDN/>
        <w:bidi w:val="0"/>
        <w:adjustRightInd/>
        <w:snapToGrid/>
        <w:spacing w:after="0" w:afterLines="0" w:line="640" w:lineRule="exact"/>
        <w:ind w:left="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中共平头川镇委员会             2021年7月12日印发</w:t>
      </w:r>
    </w:p>
    <w:p>
      <w:bookmarkStart w:id="0" w:name="_GoBack"/>
      <w:bookmarkEnd w:id="0"/>
    </w:p>
    <w:sectPr>
      <w:footerReference r:id="rId6" w:type="first"/>
      <w:footerReference r:id="rId5" w:type="default"/>
      <w:pgSz w:w="11906" w:h="16838"/>
      <w:pgMar w:top="2098" w:right="1531" w:bottom="1984" w:left="1531" w:header="0" w:footer="1361" w:gutter="0"/>
      <w:pgNumType w:fmt="decimal"/>
      <w:cols w:space="72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3"/>
                      <w:rPr>
                        <w:rFonts w:hint="eastAsia"/>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ind w:left="210" w:leftChars="100" w:right="210" w:rightChars="100" w:firstLine="280" w:firstLineChars="100"/>
                            <w:rPr>
                              <w:rFonts w:hint="eastAsia" w:ascii="宋体" w:hAnsi="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ind w:left="210" w:leftChars="100" w:right="210" w:rightChars="100" w:firstLine="280" w:firstLineChars="100"/>
                      <w:rPr>
                        <w:rFonts w:hint="eastAsia" w:ascii="宋体" w:hAnsi="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A6487"/>
    <w:rsid w:val="073F5B5B"/>
    <w:rsid w:val="5231003A"/>
    <w:rsid w:val="5AFA6487"/>
    <w:rsid w:val="67F34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pPr>
    <w:rPr>
      <w:rFonts w:ascii="Calibri" w:hAnsi="Calibri" w:eastAsia="宋体" w:cs="Times New Roman"/>
      <w:color w:val="000000"/>
      <w:sz w:val="21"/>
      <w:u w:val="none" w:color="000000"/>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Body Text Indent 2"/>
    <w:basedOn w:val="1"/>
    <w:qFormat/>
    <w:uiPriority w:val="0"/>
    <w:pPr>
      <w:spacing w:after="120" w:afterLines="0" w:line="480" w:lineRule="auto"/>
      <w:ind w:left="20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2118</Words>
  <Characters>2195</Characters>
  <Lines>0</Lines>
  <Paragraphs>0</Paragraphs>
  <TotalTime>0</TotalTime>
  <ScaleCrop>false</ScaleCrop>
  <LinksUpToDate>false</LinksUpToDate>
  <CharactersWithSpaces>2218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2021-09-24T06:56:00Z</dcterms:created>
  <dc:creator>栀子</dc:creator>
  <cp:lastModifiedBy>栀子</cp:lastModifiedBy>
  <dcterms:modified xsi:type="dcterms:W3CDTF">2021-09-24T07:04:15Z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7B4F7CD649A845AAB371BB86B76EC42C</vt:lpwstr>
  </property>
</Properties>
</file>