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公路安全保护条例</w:t>
      </w:r>
    </w:p>
    <w:p>
      <w:pPr>
        <w:pStyle w:val="10"/>
        <w:ind w:firstLine="640" w:firstLineChars="200"/>
        <w:rPr>
          <w:rFonts w:hint="eastAsia" w:ascii="Times New Roman" w:hAnsi="Times New Roman" w:eastAsia="楷体_GB2312"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(2011年2月16日国务院第144次常务会议通过　2011年3月7日中华人民共和国国务院令第593号公布　自2011年7月1日起施行)</w:t>
      </w:r>
    </w:p>
    <w:p>
      <w:pPr>
        <w:pStyle w:val="3"/>
        <w:rPr>
          <w:rFonts w:ascii="方正黑体_GBK"/>
        </w:rPr>
      </w:pPr>
      <w:r>
        <w:rPr>
          <w:rFonts w:hint="eastAsia" w:ascii="方正黑体_GBK" w:hAnsi="Times New Roman" w:cs="Times New Roman"/>
        </w:rPr>
        <w:t>第一章　总</w:t>
      </w:r>
      <w:bookmarkStart w:id="0" w:name="_GoBack"/>
      <w:bookmarkEnd w:id="0"/>
      <w:r>
        <w:rPr>
          <w:rFonts w:hint="eastAsia" w:ascii="方正黑体_GBK" w:hAnsi="Times New Roman" w:cs="Times New Roman"/>
        </w:rPr>
        <w:t>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为了加强公路保护，保障公路完好、安全和畅通，根据《中华人民共和国公路法》，制定本条例。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各级人民政府应当加强对公路保护工作的领导，依法履行公路保护职责。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国务院交通运输主管部门主管全国公路保护工作。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县级以上地方人民政府交通运输主管部门主管本行政区域的公路保护工作；但是，县级以上地方人民政府交通运输主管部门对国道、省道的保护职责，由省、自治区、直辖市人民政府确定。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公路管理机构依照本条例的规定具体负责公路保护的监督管理工作。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县级以上各级人民政府发展改革、工业和信息化、公安、工商、质检等部门按照职责分工，依法开展公路保护的相关工作。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县级以上各级人民政府应当将政府及其有关部门从事公路管理、养护所需经费以及公路管理机构行使公路行政管理职能所需经费纳入本级人民政府财政预算。但是，专用公路的公路保护经费除外。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县级以上各级人民政府交通运输主管部门应当综合考虑国家有关车辆技术标准、公路使用状况等因素，逐步提高公路建设、管理和养护水平，努力满足国民经济和社会发展以及人民群众生产、生活需要。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县级以上各级人民政府交通运输主管部门应当依照《中华人民共和国突发事件应对法》的规定，制定地震、泥石流、雨雪冰冻灾害等损毁公路的突发事件(以下简称公路突发事件)应急预案，报本级人民政府批准后实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公路管理机构、公路经营企业应当根据交通运输主管部门制定的公路突发事件应急预案，组建应急队伍，并定期组织应急演练。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国家建立健全公路突发事件应急物资储备保障制度，完善应急物资储备、调配体系，确保发生公路突发事件时能够满足应急处置工作的需要。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任何单位和个人不得破坏、损坏、非法占用或者非法利用公路、公路用地和公路附属设施。</w:t>
      </w:r>
    </w:p>
    <w:p>
      <w:pPr>
        <w:pStyle w:val="3"/>
        <w:rPr>
          <w:rFonts w:ascii="方正黑体_GBK"/>
        </w:rPr>
      </w:pPr>
      <w:r>
        <w:rPr>
          <w:rFonts w:hint="eastAsia" w:ascii="方正黑体_GBK" w:hAnsi="Times New Roman" w:cs="Times New Roman"/>
        </w:rPr>
        <w:t>第二章　公路线路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公路管理机构应当建立健全公路管理档案，对公路、公路用地和公路附属设施调查核实、登记造册。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县级以上地方人民政府应当根据保障公路运行安全和节约用地的原则以及公路发展的需要，组织交通运输、国土资源等部门划定公路建筑控制区的范围。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公路建筑控制区的范围，从公路用地外缘起向外的距离标准为：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(一)国道不少于20米；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(二)省道不少于15米；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(三)县道不少于10米；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(四)乡道不少于5米。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属于高速公路的，公路建筑控制区的范围从公路用地外缘起向外的距离标准不少于30米。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公路弯道内侧、互通立交以及平面交叉道口的建筑控制区范围根据安全视距等要求确定。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新建、改建公路的建筑控制区的范围，应当自公路初步设计批准之日起30日内，由公路沿线县级以上地方人民政府依照本条例划定并公告。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公路建筑控制区与铁路线路安全保护区、航道保护范围、河道管理范围或者水工程管理和保护范围重叠的，经公路管理机构和铁路管理机构、航道管理机构、水行政主管部门或者流域管理机构协商后划定。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在公路建筑控制区内，除公路保护需要外，禁止修建建筑物和地面构筑物；公路建筑控制区划定前已经合法修建的不得扩建，因公路建设或者保障公路运行安全等原因需要拆除的应当依法给予补偿。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在公路建筑控制区外修建的建筑物、地面构筑物以及其他设施不得遮挡公路标志，不得妨碍安全视距。</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新建村镇、开发区、学校和货物集散地、大型商业网点、农贸市场等公共场所，与公路建筑控制区边界外缘的距离应当符合下列标准，并尽可能在公路一侧建设：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(一)国道、省道不少于50米；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(二)县道、乡道不少于20米。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新建、改建公路与既有城市道路、铁路、通信等线路交叉或者新建、改建城市道路、铁路、通信等线路与既有公路交叉的，建设费用由新建、改建单位承担；城市道路、铁路、通信等线路的管理部门、单位或者公路管理机构要求提高既有建设标准而增加的费用，由提出要求的部门或者单位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需要改变既有公路与城市道路、铁路、通信等线路交叉方式的，按照公平合理的原则分担建设费用。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禁止将公路作为检验车辆制动性能的试车场地。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在公路、公路用地范围内摆摊设点、堆放物品、倾倒垃圾、设置障碍、挖沟引水、打场晒粮、种植作物、放养牲畜、采石、取土、采空作业、焚烧物品、利用公路边沟排放污物或者进行其他损坏、污染公路和影响公路畅通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禁止在下列范围内从事采矿、采石、取土、爆破作业等危及公路、公路桥梁、公路隧道、公路渡口安全的活动：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(一)国道、省道、县道的公路用地外缘起向外100米，乡道的公路用地外缘起向外50米；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(二)公路渡口和中型以上公路桥梁周围200米；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(三)公路隧道上方和洞口外100米。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在前款规定的范围内，因抢险、防汛需要修筑堤坝、压缩或者拓宽河床的，应当经省、自治区、直辖市人民政府交通运输主管部门会同水行政主管部门或者流域管理机构批准，并采取安全防护措施方可进行。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除按照国家有关规定设立的为车辆补充燃料的场所、设施外，禁止在下列范围内设立生产、储存、销售易燃、易爆、剧毒、放射性等危险物品的场所、设施：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(一)公路用地外缘起向外100米；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(二)公路渡口和中型以上公路桥梁周围200米；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(三)公路隧道上方和洞口外100米。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禁止擅自在中型以上公路桥梁跨越的河道上下游各1000米范围内抽取地下水、架设浮桥以及修建其他危及公路桥梁安全的设施。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在前款规定的范围内，确需进行抽取地下水、架设浮桥等活动的，应当经水行政主管部门、流域管理机构等有关单位会同公路管理机构批准，并采取安全防护措施方可进行。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禁止在公路桥梁跨越的河道上下游的下列范围内采砂：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(一)特大型公路桥梁跨越的河道上游500米，下游3000米；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(二)大型公路桥梁跨越的河道上游500米，下游2000米；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(三)中小型公路桥梁跨越的河道上游500米，下游1000米。</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在公路桥梁跨越的河道上下游各500米范围内依法进行疏浚作业的，应当符合公路桥梁安全要求，经公路管理机构确认安全方可作业。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禁止利用公路桥梁进行牵拉、吊装等危及公路桥梁安全的施工作业。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禁止利用公路桥梁(含桥下空间)、公路隧道、涵洞堆放物品，搭建设施以及铺设高压电线和输送易燃、易爆或者其他有毒有害气体、液体的管道。</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公路桥梁跨越航道的，建设单位应当按照国家有关规定设置桥梁航标、桥柱标、桥梁水尺标，并按照国家标准、行业标准设置桥区水上航标和桥墩防撞装置。桥区水上航标由航标管理机构负责维护。</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通过公路桥梁的船舶应当符合公路桥梁通航净空要求，严格遵守航行规则，不得在公路桥梁下停泊或者系缆。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重要的公路桥梁和公路隧道按照《中华人民共和国人民武装警察法》和国务院、中央军委的有关规定由中国人民武装警察部队守护。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禁止损坏、擅自移动、涂改、遮挡公路附属设施或者利用公路附属设施架设管道、悬挂物品。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禁止破坏公路、公路用地范围内的绿化物。需要更新采伐护路林的，应当向公路管理机构提出申请，经批准方可更新采伐，并及时补种；不能及时补种的，应当交纳补种所需费用，由公路管理机构代为补种。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进行下列涉路施工活动，建设单位应当向公路管理机构提出申请：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(一)因修建铁路、机场、供电、水利、通信等建设工程需要占用、挖掘公路、公路用地或者使公路改线；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(二)跨越、穿越公路修建桥梁、渡槽或者架设、埋设管道、电缆等设施；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(三)在公路用地范围内架设、埋设管道、电缆等设施；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(四)利用公路桥梁、公路隧道、涵洞铺设电缆等设施；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(五)利用跨越公路的设施悬挂非公路标志；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(六)在公路上增设或者改造平面交叉道口；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(七)在公路建筑控制区内埋设管道、电缆等设施。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申请进行涉路施工活动的建设单位应当向公路管理机构提交下列材料：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(一)符合有关技术标准、规范要求的设计和施工方案；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(二)保障公路、公路附属设施质量和安全的技术评价报告；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(三)处置施工险情和意外事故的应急方案。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管理机构应当自受理申请之日起20日内作出许可或者不予许可的决定；影响交通安全的，应当征得公安机关交通管理部门的同意；涉及经营性公路的，应当征求公路经营企业的意见；不予许可的，公路管理机构应当书面通知申请人并说明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建设单位应当按照许可的设计和施工方案进行施工作业，并落实保障公路、公路附属设施质量和安全的防护措施。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涉路施工完毕，公路管理机构应当对公路、公路附属设施是否达到规定的技术标准以及施工是否符合保障公路、公路附属设施质量和安全的要求进行验收；影响交通安全的，还应当经公安机关交通管理部门验收。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涉路工程设施的所有人、管理人应当加强维护和管理，确保工程设施不影响公路的完好、安全和畅通。</w:t>
      </w:r>
    </w:p>
    <w:p>
      <w:pPr>
        <w:pStyle w:val="3"/>
        <w:rPr>
          <w:rFonts w:ascii="方正黑体_GBK"/>
        </w:rPr>
      </w:pPr>
      <w:r>
        <w:rPr>
          <w:rFonts w:hint="eastAsia" w:ascii="方正黑体_GBK" w:hAnsi="Times New Roman" w:cs="Times New Roman"/>
        </w:rPr>
        <w:t>第三章　公路通行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车辆的外廓尺寸、轴荷和总质量应当符合国家有关车辆外廓尺寸、轴荷、质量限值等机动车安全技术标准，不符合标准的不得生产、销售。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公安机关交通管理部门办理车辆登记，应当当场查验，对不符合机动车国家安全技术标准的车辆不予登记。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运输不可解体物品需要改装车辆的，应当由具有相应资质的车辆生产企业按照规定的车型和技术参数进行改装。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超过公路、公路桥梁、公路隧道限载、限高、限宽、限长标准的车辆，不得在公路、公路桥梁或者公路隧道行驶；超过汽车渡船限载、限高、限宽、限长标准的车辆，不得使用汽车渡船。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公路、公路桥梁、公路隧道限载、限高、限宽、限长标准调整的，公路管理机构、公路经营企业应当及时变更限载、限高、限宽、限长标志；需要绕行的，还应当标明绕行路线。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县级人民政府交通运输主管部门或者乡级人民政府可以根据保护乡道、村道的需要，在乡道、村道的出入口设置必要的限高、限宽设施，但是不得影响消防和卫生急救等应急通行需要，不得向通行车辆收费。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车辆载运不可解体物品，车货总体的外廓尺寸或者总质量超过公路、公路桥梁、公路隧道的限载、限高、限宽、限长标准，确需在公路、公路桥梁、公路隧道行驶的，从事运输的单位和个人应当向公路管理机构申请公路超限运输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申请公路超限运输许可按照下列规定办理：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跨省、自治区、直辖市进行超限运输的，向公路沿线各省、自治区、直辖市公路管理机构提出申请，由起运地省、自治区、直辖市公路管理机构统一受理，并协调公路沿线各省、自治区、直辖市公路管理机构对超限运输申请进行审批，必要时可以由国务院交通运输主管部门统一协调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(二)在省、自治区范围内跨设区的市进行超限运输，或者在直辖市范围内跨区、县进行超限运输的，向省、自治区、直辖市公路管理机构提出申请，由省、自治区、直辖市公路管理机构受理并审批；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(三)在设区的市范围内跨区、县进行超限运输的，向设区的市公路管理机构提出申请，由设区的市公路管理机构受理并审批；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(四)在区、县范围内进行超限运输的，向区、县公路管理机构提出申请，由区、县公路管理机构受理并审批。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公路超限运输影响交通安全的，公路管理机构在审批超限运输申请时，应当征求公安机关交通管理部门意见。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公路管理机构审批超限运输申请，应当根据实际情况勘测通行路线，需要采取加固、改造措施的，可以与申请人签订有关协议，制定相应的加固、改造方案。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公路管理机构应当根据其制定的加固、改造方案，对通行的公路桥梁、涵洞等设施进行加固、改造；必要时应当对超限运输车辆进行监管。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公路管理机构批准超限运输申请的，应当为超限运输车辆配发国务院交通运输主管部门规定式样的超限运输车辆通行证。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经批准进行超限运输的车辆，应当随车携带超限运输车辆通行证，按照指定的时间、路线和速度行驶，并悬挂明显标志。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禁止租借、转让超限运输车辆通行证。禁止使用伪造、变造的超限运输车辆通行证。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经省、自治区、直辖市人民政府批准，有关交通运输主管部门可以设立固定超限检测站点，配备必要的设备和人员。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固定超限检测站点应当规范执法，并公布监督电话。公路管理机构应当加强对固定超限检测站点的管理。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公路管理机构在监督检查中发现车辆超过公路、公路桥梁、公路隧道或者汽车渡船的限载、限高、限宽、限长标准的，应当就近引导至固定超限检测站点进行处理。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车辆应当按照超限检测指示标志或者公路管理机构监督检查人员的指挥接受超限检测，不得故意堵塞固定超限检测站点通行车道、强行通过固定超限检测站点或者以其他方式扰乱超限检测秩序，不得采取短途驳载等方式逃避超限检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禁止通过引路绕行等方式为不符合国家有关载运标准的车辆逃避超限检测提供便利。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煤炭、水泥等货物集散地以及货运站等场所的经营人、管理人应当采取有效措施，防止不符合国家有关载运标准的车辆出场(站)。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道路运输管理机构应当加强对煤炭、水泥等货物集散地以及货运站等场所的监督检查，制止不符合国家有关载运标准的车辆出场(站)。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任何单位和个人不得指使、强令车辆驾驶人超限运输货物，不得阻碍道路运输管理机构依法进行监督检查。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载运易燃、易爆、剧毒、放射性等危险物品的车辆，应当符合国家有关安全管理规定，并避免通过特大型公路桥梁或者特长公路隧道；确需通过特大型公路桥梁或者特长公路隧道的，负责审批易燃、易爆、剧毒、放射性等危险物品运输许可的机关应当提前将行驶时间、路线通知特大型公路桥梁或者特长公路隧道的管理单位，并对在特大型公路桥梁或者特长公路隧道行驶的车辆进行现场监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车辆应当规范装载，装载物不得触地拖行。车辆装载物易掉落、遗洒或者飘散的，应当采取厢式密闭等有效防护措施方可在公路上行驶。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车辆装载物掉落、遗洒、飘散后，车辆驾驶人、押运人员未及时采取措施处理，造成他人人身、财产损害的，道路运输企业、车辆驾驶人应当依法承担赔偿责任。</w:t>
      </w:r>
    </w:p>
    <w:p>
      <w:pPr>
        <w:pStyle w:val="3"/>
        <w:rPr>
          <w:rFonts w:ascii="方正黑体_GBK"/>
        </w:rPr>
      </w:pPr>
      <w:r>
        <w:rPr>
          <w:rFonts w:hint="eastAsia" w:ascii="方正黑体_GBK" w:hAnsi="Times New Roman" w:cs="Times New Roman"/>
        </w:rPr>
        <w:t>第四章　公路养护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公路管理机构、公路经营企业应当加强公路养护，保证公路经常处于良好技术状态。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前款所称良好技术状态，是指公路自身的物理状态符合有关技术标准的要求，包括路面平整，路肩、边坡平顺，有关设施完好。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公路养护应当按照国务院交通运输主管部门规定的技术规范和操作规程实施作业。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从事公路养护作业的单位应当具备下列资质条件：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(一)有一定数量的符合要求的技术人员；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(二)有与公路养护作业相适应的技术设备；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(三)有与公路养护作业相适应的作业经历；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(四)国务院交通运输主管部门规定的其他条件。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公路养护作业单位资质管理办法由国务院交通运输主管部门另行制定。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公路管理机构、公路经营企业应当按照国务院交通运输主管部门的规定对公路进行巡查，并制作巡查记录；发现公路坍塌、坑槽、隆起等损毁的，应当及时设置警示标志，并采取措施修复。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公安机关交通管理部门发现公路坍塌、坑槽、隆起等损毁，危及交通安全的，应当及时采取措施，疏导交通，并通知公路管理机构或者公路经营企业。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其他人员发现公路坍塌、坑槽、隆起等损毁的，应当及时向公路管理机构、公安机关交通管理部门报告。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公路管理机构、公路经营企业应当定期对公路、公路桥梁、公路隧道进行检测和评定，保证其技术状态符合有关技术标准；对经检测发现不符合车辆通行安全要求的，应当进行维修，及时向社会公告，并通知公安机关交通管理部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公路管理机构、公路经营企业应当定期检查公路隧道的排水、通风、照明、监控、报警、消防、救助等设施，保持设施处于完好状态。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公路管理机构应当统筹安排公路养护作业计划，避免集中进行公路养护作业造成交通堵塞。</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省、自治区、直辖市交界区域进行公路养护作业，可能造成交通堵塞的，有关公路管理机构、公安机关交通管理部门应当事先书面通报相邻的省、自治区、直辖市公路管理机构、公安机关交通管理部门，共同制定疏导预案，确定分流路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公路养护作业需要封闭公路的，或者占用半幅公路进行作业，作业路段长度在2公里以上，并且作业期限超过30日的，除紧急情况外，公路养护作业单位应当在作业开始之日前5日向社会公告，明确绕行路线，并在绕行处设置标志；不能绕行的，应当修建临时道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公路养护作业人员作业时，应当穿着统一的安全标志服。公路养护车辆、机械设备作业时，应当设置明显的作业标志，开启危险报警闪光灯。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发生公路突发事件影响通行的，公路管理机构、公路经营企业应当及时修复公路、恢复通行。设区的市级以上人民政府交通运输主管部门应当根据修复公路、恢复通行的需要，及时调集抢修力量，统筹安排有关作业计划，下达路网调度指令，配合有关部门组织绕行、分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区的市级以上公路管理机构应当按照国务院交通运输主管部门的规定收集、汇总公路损毁、公路交通流量等信息，开展公路突发事件的监测、预报和预警工作，并利用多种方式及时向社会发布有关公路运行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中国人民武装警察交通部队按照国家有关规定承担公路、公路桥梁、公路隧道等设施的抢修任务。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公路永久性停止使用的，应当按照国务院交通运输主管部门规定的程序核准后作报废处理，并向社会公告。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公路报废后的土地使用管理依照有关土地管理的法律、行政法规执行。</w:t>
      </w:r>
    </w:p>
    <w:p>
      <w:pPr>
        <w:pStyle w:val="3"/>
        <w:rPr>
          <w:rFonts w:ascii="方正黑体_GBK"/>
        </w:rPr>
      </w:pPr>
      <w:r>
        <w:rPr>
          <w:rFonts w:hint="eastAsia" w:ascii="方正黑体_GBK" w:hAnsi="Times New Roman" w:cs="Times New Roman"/>
        </w:rP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违反本条例的规定，有下列情形之一的，由公路管理机构责令限期拆除，可以处5万元以下的罚款。逾期不拆除的，由公路管理机构拆除，有关费用由违法行为人承担：</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(一)在公路建筑控制区内修建、扩建建筑物、地面构筑物或者未经许可埋设管道、电缆等设施的；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(二)在公路建筑控制区外修建的建筑物、地面构筑物以及其他设施遮挡公路标志或者妨碍安全视距的。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违反本条例第十八条、第十九条、第二十三条规定的，由安全生产监督管理部门、水行政主管部门、流域管理机构、海事管理机构等有关单位依法处理。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违反本条例第二十条规定的，由水行政主管部门或者流域管理机构责令改正，可以处3万元以下的罚款。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违反本条例第二十二条规定的，由公路管理机构责令改正，处2万元以上10万元以下的罚款。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违反本条例的规定，有下列行为之一的，由公路管理机构责令改正，可以处3万元以下的罚款：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(一)损坏、擅自移动、涂改、遮挡公路附属设施或者利用公路附属设施架设管道、悬挂物品，可能危及公路安全的；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(二)涉路工程设施影响公路完好、安全和畅通的。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违反本条例的规定，未经批准更新采伐护路林的，由公路管理机构责令补种，没收违法所得，并处采伐林木价值3倍以上5倍以下的罚款。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违反本条例的规定，未经许可进行本条例第二十七条第一项至第五项规定的涉路施工活动的，由公路管理机构责令改正，可以处3万元以下的罚款；未经许可进行本条例第二十七条第六项规定的涉路施工活动的，由公路管理机构责令改正，处5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违反本条例的规定，非法生产、销售外廓尺寸、轴荷、总质量不符合国家有关车辆外廓尺寸、轴荷、质量限值等机动车安全技术标准的车辆的，依照《中华人民共和国道路交通安全法》的有关规定处罚。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具有国家规定资质的车辆生产企业未按照规定车型和技术参数改装车辆的，由原发证机关责令改正，处4万元以上20万元以下的罚款；拒不改正的，吊销其资质证书。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违反本条例的规定，在公路上行驶的车辆，车货总体的外廓尺寸、轴荷或者总质量超过公路、公路桥梁、公路隧道、汽车渡船限定标准的，由公路管理机构责令改正，可以处3万元以下的罚款。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违反本条例的规定，经批准进行超限运输的车辆，未按照指定时间、路线和速度行驶的，由公路管理机构或者公安机关交通管理部门责令改正；拒不改正的，公路管理机构或者公安机关交通管理部门可以扣留车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未随车携带超限运输车辆通行证的，由公路管理机构扣留车辆，责令车辆驾驶人提供超限运输车辆通行证或者相应的证明。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租借、转让超限运输车辆通行证的，由公路管理机构没收超限运输车辆通行证，处1000元以上5000元以下的罚款。使用伪造、变造的超限运输车辆通行证的，由公路管理机构没收伪造、变造的超限运输车辆通行证，处3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对1年内违法超限运输超过3次的货运车辆，由道路运输管理机构吊销其车辆营运证；对1年内违法超限运输超过3次的货运车辆驾驶人，由道路运输管理机构责令其停止从事营业性运输；道路运输企业1年内违法超限运输的货运车辆超过本单位货运车辆总数10%的，由道路运输管理机构责令道路运输企业停业整顿；情节严重的，吊销其道路运输经营许可证，并向社会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违反本条例的规定，有下列行为之一的，由公路管理机构强制拖离或者扣留车辆，处3万元以下的罚款：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(一)采取故意堵塞固定超限检测站点通行车道、强行通过固定超限检测站点等方式扰乱超限检测秩序的；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(二)采取短途驳载等方式逃避超限检测的。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违反本条例的规定，指使、强令车辆驾驶人超限运输货物的，由道路运输管理机构责令改正，处3万元以下的罚款。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车辆装载物触地拖行、掉落、遗洒或者飘散，造成公路路面损坏、污染的，由公路管理机构责令改正，处5000元以下的罚款。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违反本条例的规定，公路养护作业单位未按照国务院交通运输主管部门规定的技术规范和操作规程进行公路养护作业的，由公路管理机构责令改正，处1万元以上5万元以下的罚款；拒不改正的，吊销其资质证书。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造成公路、公路附属设施损坏的单位和个人应当立即报告公路管理机构，接受公路管理机构的现场调查处理；危及交通安全的，还应当设置警示标志或者采取其他安全防护措施，并迅速报告公安机关交通管理部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发生交通事故造成公路、公路附属设施损坏的，公安机关交通管理部门在处理交通事故时应当及时通知有关公路管理机构到场调查处理。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　</w:t>
      </w:r>
      <w:r>
        <w:rPr>
          <w:rFonts w:ascii="Times New Roman" w:hAnsi="Times New Roman" w:eastAsia="仿宋_GB2312" w:cs="Times New Roman"/>
          <w:sz w:val="32"/>
          <w:szCs w:val="32"/>
        </w:rPr>
        <w:t>造成公路、公路附属设施损坏，拒不接受公路管理机构现场调查处理的，公路管理机构可以扣留车辆、工具。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管理机构扣留车辆、工具的，应当当场出具凭证，并告知当事人在规定期限内到公路管理机构接受处理。逾期不接受处理，并且经公告3个月仍不来接受处理的，对扣留的车辆、工具，由公路管理机构依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公路管理机构对被扣留的车辆、工具应当妥善保管，不得使用。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第七十三条　</w:t>
      </w:r>
      <w:r>
        <w:rPr>
          <w:rFonts w:ascii="Times New Roman" w:hAnsi="Times New Roman" w:eastAsia="仿宋_GB2312" w:cs="Times New Roman"/>
          <w:sz w:val="32"/>
          <w:szCs w:val="32"/>
        </w:rPr>
        <w:t>违反本条例的规定，公路管理机构工作人员有下列行为之一的，依法给予处分：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(一)违法实施行政许可的；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(二)违反规定拦截、检查正常行驶的车辆的；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(三)未及时采取措施处理公路坍塌、坑槽、隆起等损毁的；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(四)违法扣留车辆、工具或者使用依法扣留的车辆、工具的；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(五)有其他玩忽职守、徇私舞弊、滥用职权行为的。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公路管理机构有前款所列行为之一的，对负有直接责任的主管人员和其他直接责任人员依法给予处分。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第七十四条　</w:t>
      </w:r>
      <w:r>
        <w:rPr>
          <w:rFonts w:ascii="Times New Roman" w:hAnsi="Times New Roman" w:eastAsia="仿宋_GB2312" w:cs="Times New Roman"/>
          <w:sz w:val="32"/>
          <w:szCs w:val="32"/>
        </w:rPr>
        <w:t>违反本条例的规定，构成违反治安管理行为的，由公安机关依法给予治安管理处罚；构成犯罪的，依法追究刑事责任。</w:t>
      </w:r>
    </w:p>
    <w:p>
      <w:pPr>
        <w:pStyle w:val="3"/>
        <w:rPr>
          <w:rFonts w:ascii="方正黑体_GBK"/>
        </w:rPr>
      </w:pPr>
      <w:r>
        <w:rPr>
          <w:rFonts w:hint="eastAsia" w:ascii="方正黑体_GBK" w:hAnsi="Times New Roman" w:cs="Times New Roman"/>
        </w:rP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第七十五条　</w:t>
      </w:r>
      <w:r>
        <w:rPr>
          <w:rFonts w:ascii="Times New Roman" w:hAnsi="Times New Roman" w:eastAsia="仿宋_GB2312" w:cs="Times New Roman"/>
          <w:sz w:val="32"/>
          <w:szCs w:val="32"/>
        </w:rPr>
        <w:t>村道的管理和养护工作，由乡级人民政府参照本条例的规定执行。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专用公路的保护不适用本条例。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第七十六条　</w:t>
      </w:r>
      <w:r>
        <w:rPr>
          <w:rFonts w:ascii="Times New Roman" w:hAnsi="Times New Roman" w:eastAsia="仿宋_GB2312" w:cs="Times New Roman"/>
          <w:sz w:val="32"/>
          <w:szCs w:val="32"/>
        </w:rPr>
        <w:t>军事运输使用公路按照国务院、中央军事委员会的有关规定执行。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第七十七条　</w:t>
      </w:r>
      <w:r>
        <w:rPr>
          <w:rFonts w:ascii="Times New Roman" w:hAnsi="Times New Roman" w:eastAsia="仿宋_GB2312" w:cs="Times New Roman"/>
          <w:sz w:val="32"/>
          <w:szCs w:val="32"/>
        </w:rPr>
        <w:t>本条例自2011年7月1日起施行。1987年10月13日国务院发布的《中华人民共和国公路管理条例》同时废止。</w:t>
      </w:r>
    </w:p>
    <w:sectPr>
      <w:footerReference r:id="rId3" w:type="default"/>
      <w:footnotePr>
        <w:numFmt w:val="decimalEnclosedCircleChinese"/>
        <w:numRestart w:val="eachPage"/>
      </w:footnotePr>
      <w:pgSz w:w="11906" w:h="16838"/>
      <w:pgMar w:top="1440" w:right="1753" w:bottom="1440" w:left="175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11"/>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C679F8"/>
    <w:rsid w:val="00027AB2"/>
    <w:rsid w:val="000917B9"/>
    <w:rsid w:val="000A5459"/>
    <w:rsid w:val="000C4C92"/>
    <w:rsid w:val="000D392D"/>
    <w:rsid w:val="000E1E0F"/>
    <w:rsid w:val="000E61BB"/>
    <w:rsid w:val="001123A3"/>
    <w:rsid w:val="001308F7"/>
    <w:rsid w:val="001E555F"/>
    <w:rsid w:val="00290D32"/>
    <w:rsid w:val="002C025D"/>
    <w:rsid w:val="002C3000"/>
    <w:rsid w:val="002F6361"/>
    <w:rsid w:val="003004CE"/>
    <w:rsid w:val="00351FC0"/>
    <w:rsid w:val="003653A6"/>
    <w:rsid w:val="00365B84"/>
    <w:rsid w:val="00366E7D"/>
    <w:rsid w:val="00367E2D"/>
    <w:rsid w:val="003767F3"/>
    <w:rsid w:val="0038655D"/>
    <w:rsid w:val="003A2108"/>
    <w:rsid w:val="003A6FAA"/>
    <w:rsid w:val="003D14A2"/>
    <w:rsid w:val="003D3DF5"/>
    <w:rsid w:val="003E1D23"/>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C05B5"/>
    <w:rsid w:val="005F72E4"/>
    <w:rsid w:val="0060279C"/>
    <w:rsid w:val="00604330"/>
    <w:rsid w:val="006405E2"/>
    <w:rsid w:val="006848F5"/>
    <w:rsid w:val="00696872"/>
    <w:rsid w:val="00723BD5"/>
    <w:rsid w:val="00730ACC"/>
    <w:rsid w:val="00735841"/>
    <w:rsid w:val="00774219"/>
    <w:rsid w:val="0077596B"/>
    <w:rsid w:val="007953C3"/>
    <w:rsid w:val="007A2BEC"/>
    <w:rsid w:val="007C74E7"/>
    <w:rsid w:val="007E54CD"/>
    <w:rsid w:val="00826E44"/>
    <w:rsid w:val="0083648E"/>
    <w:rsid w:val="008665B0"/>
    <w:rsid w:val="00891DB0"/>
    <w:rsid w:val="008C4A57"/>
    <w:rsid w:val="008F43D9"/>
    <w:rsid w:val="00965278"/>
    <w:rsid w:val="00965B34"/>
    <w:rsid w:val="009D67A7"/>
    <w:rsid w:val="00A06F17"/>
    <w:rsid w:val="00A1689C"/>
    <w:rsid w:val="00A37B48"/>
    <w:rsid w:val="00A57CA4"/>
    <w:rsid w:val="00AA747A"/>
    <w:rsid w:val="00AD44EB"/>
    <w:rsid w:val="00B15D96"/>
    <w:rsid w:val="00B31E84"/>
    <w:rsid w:val="00B9435F"/>
    <w:rsid w:val="00BC2466"/>
    <w:rsid w:val="00BC4671"/>
    <w:rsid w:val="00BD7AE1"/>
    <w:rsid w:val="00BE0B46"/>
    <w:rsid w:val="00C603F7"/>
    <w:rsid w:val="00C679F8"/>
    <w:rsid w:val="00C7190D"/>
    <w:rsid w:val="00CA02BD"/>
    <w:rsid w:val="00CB4C46"/>
    <w:rsid w:val="00CC5669"/>
    <w:rsid w:val="00CD01A8"/>
    <w:rsid w:val="00D11792"/>
    <w:rsid w:val="00D15169"/>
    <w:rsid w:val="00D56773"/>
    <w:rsid w:val="00D61EFD"/>
    <w:rsid w:val="00D83072"/>
    <w:rsid w:val="00D92776"/>
    <w:rsid w:val="00DF7D69"/>
    <w:rsid w:val="00E012B2"/>
    <w:rsid w:val="00E149FA"/>
    <w:rsid w:val="00E21E2B"/>
    <w:rsid w:val="00E40DDC"/>
    <w:rsid w:val="00E44CB1"/>
    <w:rsid w:val="00E73B49"/>
    <w:rsid w:val="00EC63E9"/>
    <w:rsid w:val="00ED65AD"/>
    <w:rsid w:val="00F2134E"/>
    <w:rsid w:val="00F52F1B"/>
    <w:rsid w:val="00F62793"/>
    <w:rsid w:val="00F90210"/>
    <w:rsid w:val="00FA2E60"/>
    <w:rsid w:val="00FA45FB"/>
    <w:rsid w:val="00FB4416"/>
    <w:rsid w:val="00FB783C"/>
    <w:rsid w:val="00FC6E24"/>
    <w:rsid w:val="00FD7678"/>
    <w:rsid w:val="00FD7765"/>
    <w:rsid w:val="0414064D"/>
    <w:rsid w:val="08B04008"/>
    <w:rsid w:val="19EA7767"/>
    <w:rsid w:val="1D991379"/>
    <w:rsid w:val="27174967"/>
    <w:rsid w:val="32D83270"/>
    <w:rsid w:val="3C1873BA"/>
    <w:rsid w:val="409D008B"/>
    <w:rsid w:val="596C5D88"/>
    <w:rsid w:val="5CF43022"/>
    <w:rsid w:val="70121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before="260" w:after="260" w:line="41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4"/>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5"/>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6"/>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7"/>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10">
    <w:name w:val="Plain Text"/>
    <w:basedOn w:val="1"/>
    <w:link w:val="17"/>
    <w:unhideWhenUsed/>
    <w:qFormat/>
    <w:uiPriority w:val="99"/>
    <w:rPr>
      <w:rFonts w:ascii="宋体" w:hAnsi="Courier New" w:eastAsia="宋体" w:cs="Courier New"/>
      <w:szCs w:val="21"/>
    </w:rPr>
  </w:style>
  <w:style w:type="paragraph" w:styleId="11">
    <w:name w:val="footer"/>
    <w:basedOn w:val="1"/>
    <w:link w:val="19"/>
    <w:unhideWhenUsed/>
    <w:qFormat/>
    <w:uiPriority w:val="99"/>
    <w:pPr>
      <w:tabs>
        <w:tab w:val="center" w:pos="4153"/>
        <w:tab w:val="right" w:pos="8306"/>
      </w:tabs>
      <w:snapToGrid w:val="0"/>
      <w:jc w:val="left"/>
    </w:pPr>
    <w:rPr>
      <w:sz w:val="18"/>
      <w:szCs w:val="18"/>
    </w:rPr>
  </w:style>
  <w:style w:type="paragraph" w:styleId="12">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link w:val="28"/>
    <w:unhideWhenUsed/>
    <w:qFormat/>
    <w:uiPriority w:val="99"/>
    <w:pPr>
      <w:snapToGrid w:val="0"/>
      <w:jc w:val="left"/>
    </w:pPr>
    <w:rPr>
      <w:sz w:val="18"/>
      <w:szCs w:val="18"/>
    </w:rPr>
  </w:style>
  <w:style w:type="character" w:styleId="16">
    <w:name w:val="footnote reference"/>
    <w:basedOn w:val="15"/>
    <w:unhideWhenUsed/>
    <w:qFormat/>
    <w:uiPriority w:val="99"/>
    <w:rPr>
      <w:vertAlign w:val="superscript"/>
    </w:rPr>
  </w:style>
  <w:style w:type="character" w:customStyle="1" w:styleId="17">
    <w:name w:val="纯文本 Char"/>
    <w:basedOn w:val="15"/>
    <w:link w:val="10"/>
    <w:qFormat/>
    <w:uiPriority w:val="99"/>
    <w:rPr>
      <w:rFonts w:ascii="宋体" w:hAnsi="Courier New" w:eastAsia="宋体" w:cs="Courier New"/>
      <w:szCs w:val="21"/>
    </w:rPr>
  </w:style>
  <w:style w:type="character" w:customStyle="1" w:styleId="18">
    <w:name w:val="页眉 Char"/>
    <w:basedOn w:val="15"/>
    <w:link w:val="12"/>
    <w:semiHidden/>
    <w:qFormat/>
    <w:uiPriority w:val="99"/>
    <w:rPr>
      <w:sz w:val="18"/>
      <w:szCs w:val="18"/>
    </w:rPr>
  </w:style>
  <w:style w:type="character" w:customStyle="1" w:styleId="19">
    <w:name w:val="页脚 Char"/>
    <w:basedOn w:val="15"/>
    <w:link w:val="11"/>
    <w:semiHidden/>
    <w:qFormat/>
    <w:uiPriority w:val="99"/>
    <w:rPr>
      <w:sz w:val="18"/>
      <w:szCs w:val="18"/>
    </w:rPr>
  </w:style>
  <w:style w:type="character" w:customStyle="1" w:styleId="20">
    <w:name w:val="标题 1 Char"/>
    <w:basedOn w:val="15"/>
    <w:link w:val="2"/>
    <w:qFormat/>
    <w:uiPriority w:val="9"/>
    <w:rPr>
      <w:b/>
      <w:bCs/>
      <w:kern w:val="44"/>
      <w:sz w:val="44"/>
      <w:szCs w:val="44"/>
    </w:rPr>
  </w:style>
  <w:style w:type="character" w:customStyle="1" w:styleId="21">
    <w:name w:val="标题 2 Char"/>
    <w:basedOn w:val="15"/>
    <w:link w:val="3"/>
    <w:semiHidden/>
    <w:qFormat/>
    <w:uiPriority w:val="9"/>
    <w:rPr>
      <w:rFonts w:eastAsia="方正黑体_GBK" w:asciiTheme="majorAscii" w:hAnsiTheme="majorAscii" w:cstheme="majorBidi"/>
      <w:bCs/>
      <w:sz w:val="32"/>
      <w:szCs w:val="32"/>
    </w:rPr>
  </w:style>
  <w:style w:type="character" w:customStyle="1" w:styleId="22">
    <w:name w:val="标题 3 Char"/>
    <w:basedOn w:val="15"/>
    <w:link w:val="4"/>
    <w:semiHidden/>
    <w:qFormat/>
    <w:uiPriority w:val="9"/>
    <w:rPr>
      <w:b/>
      <w:bCs/>
      <w:sz w:val="32"/>
      <w:szCs w:val="32"/>
    </w:rPr>
  </w:style>
  <w:style w:type="character" w:customStyle="1" w:styleId="23">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4">
    <w:name w:val="标题 5 Char"/>
    <w:basedOn w:val="15"/>
    <w:link w:val="6"/>
    <w:semiHidden/>
    <w:qFormat/>
    <w:uiPriority w:val="9"/>
    <w:rPr>
      <w:b/>
      <w:bCs/>
      <w:sz w:val="28"/>
      <w:szCs w:val="28"/>
    </w:rPr>
  </w:style>
  <w:style w:type="character" w:customStyle="1" w:styleId="25">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6">
    <w:name w:val="标题 7 Char"/>
    <w:basedOn w:val="15"/>
    <w:link w:val="8"/>
    <w:semiHidden/>
    <w:qFormat/>
    <w:uiPriority w:val="9"/>
    <w:rPr>
      <w:b/>
      <w:bCs/>
      <w:sz w:val="24"/>
      <w:szCs w:val="24"/>
    </w:rPr>
  </w:style>
  <w:style w:type="character" w:customStyle="1" w:styleId="27">
    <w:name w:val="标题 8 Char"/>
    <w:basedOn w:val="15"/>
    <w:link w:val="9"/>
    <w:semiHidden/>
    <w:qFormat/>
    <w:uiPriority w:val="9"/>
    <w:rPr>
      <w:rFonts w:asciiTheme="majorHAnsi" w:hAnsiTheme="majorHAnsi" w:eastAsiaTheme="majorEastAsia" w:cstheme="majorBidi"/>
      <w:sz w:val="24"/>
      <w:szCs w:val="24"/>
    </w:rPr>
  </w:style>
  <w:style w:type="character" w:customStyle="1" w:styleId="28">
    <w:name w:val="脚注文本 Char"/>
    <w:basedOn w:val="15"/>
    <w:link w:val="1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1472</Words>
  <Characters>8392</Characters>
  <Lines>69</Lines>
  <Paragraphs>19</Paragraphs>
  <TotalTime>0</TotalTime>
  <ScaleCrop>false</ScaleCrop>
  <LinksUpToDate>false</LinksUpToDate>
  <CharactersWithSpaces>9845</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2019-05-22T12:35:00Z</dcterms:created>
  <dc:creator>Administrator</dc:creator>
  <cp:lastModifiedBy>Administrator</cp:lastModifiedBy>
  <cp:lastPrinted>2019-05-25T02:24:00Z</cp:lastPrinted>
  <dcterms:modified xsi:type="dcterms:W3CDTF">2019-07-05T07:28:25Z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