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3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48"/>
        <w:gridCol w:w="23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95" w:hRule="atLeast"/>
        </w:trPr>
        <w:tc>
          <w:tcPr>
            <w:tcW w:w="6948" w:type="dxa"/>
            <w:noWrap w:val="0"/>
            <w:vAlign w:val="top"/>
          </w:tcPr>
          <w:p>
            <w:pPr>
              <w:rPr>
                <w:rFonts w:hint="eastAsia" w:ascii="宋体" w:hAnsi="宋体"/>
                <w:b/>
                <w:bCs w:val="0"/>
                <w:spacing w:val="60"/>
                <w:sz w:val="96"/>
                <w:szCs w:val="96"/>
              </w:rPr>
            </w:pPr>
            <w:r>
              <w:rPr>
                <w:rFonts w:hint="eastAsia" w:ascii="宋体" w:hAnsi="宋体"/>
                <w:b/>
                <w:bCs w:val="0"/>
                <w:spacing w:val="-62"/>
                <w:w w:val="100"/>
                <w:sz w:val="96"/>
                <w:szCs w:val="96"/>
              </w:rPr>
              <w:t>会宁县</w:t>
            </w:r>
            <w:r>
              <w:rPr>
                <w:rFonts w:hint="eastAsia" w:ascii="宋体" w:hAnsi="宋体" w:eastAsia="宋体"/>
                <w:b/>
                <w:bCs w:val="0"/>
                <w:spacing w:val="-62"/>
                <w:w w:val="100"/>
                <w:sz w:val="96"/>
                <w:szCs w:val="96"/>
                <w:lang w:eastAsia="zh-CN"/>
              </w:rPr>
              <w:t>农业农村</w:t>
            </w:r>
            <w:r>
              <w:rPr>
                <w:rFonts w:hint="eastAsia" w:ascii="宋体" w:hAnsi="宋体"/>
                <w:b/>
                <w:bCs w:val="0"/>
                <w:spacing w:val="-62"/>
                <w:w w:val="100"/>
                <w:sz w:val="96"/>
                <w:szCs w:val="96"/>
              </w:rPr>
              <w:t>局</w:t>
            </w:r>
          </w:p>
        </w:tc>
        <w:tc>
          <w:tcPr>
            <w:tcW w:w="2361" w:type="dxa"/>
            <w:vMerge w:val="restart"/>
            <w:noWrap w:val="0"/>
            <w:vAlign w:val="center"/>
          </w:tcPr>
          <w:p>
            <w:pPr>
              <w:jc w:val="center"/>
              <w:rPr>
                <w:rFonts w:hint="eastAsia" w:ascii="宋体" w:hAnsi="宋体"/>
                <w:b/>
                <w:bCs w:val="0"/>
                <w:sz w:val="96"/>
                <w:szCs w:val="96"/>
              </w:rPr>
            </w:pPr>
            <w:r>
              <w:rPr>
                <w:rFonts w:hint="eastAsia" w:ascii="宋体" w:hAnsi="宋体"/>
                <w:b/>
                <w:bCs w:val="0"/>
                <w:sz w:val="96"/>
                <w:szCs w:val="96"/>
              </w:rPr>
              <w:t>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0" w:hRule="atLeast"/>
        </w:trPr>
        <w:tc>
          <w:tcPr>
            <w:tcW w:w="6948" w:type="dxa"/>
            <w:noWrap w:val="0"/>
            <w:vAlign w:val="top"/>
          </w:tcPr>
          <w:p>
            <w:pPr>
              <w:rPr>
                <w:rFonts w:hint="eastAsia" w:ascii="宋体" w:hAnsi="宋体"/>
                <w:b/>
                <w:bCs w:val="0"/>
                <w:spacing w:val="60"/>
                <w:sz w:val="96"/>
                <w:szCs w:val="96"/>
              </w:rPr>
            </w:pPr>
            <w:r>
              <w:rPr>
                <w:rFonts w:hint="eastAsia" w:ascii="宋体" w:hAnsi="宋体"/>
                <w:b/>
                <w:bCs w:val="0"/>
                <w:snapToGrid w:val="0"/>
                <w:spacing w:val="62"/>
                <w:w w:val="103"/>
                <w:kern w:val="21"/>
                <w:sz w:val="96"/>
                <w:szCs w:val="96"/>
              </w:rPr>
              <w:t>会宁县财政局</w:t>
            </w:r>
          </w:p>
        </w:tc>
        <w:tc>
          <w:tcPr>
            <w:tcW w:w="2361" w:type="dxa"/>
            <w:vMerge w:val="continue"/>
            <w:noWrap w:val="0"/>
            <w:vAlign w:val="top"/>
          </w:tcPr>
          <w:p>
            <w:pPr>
              <w:jc w:val="center"/>
              <w:rPr>
                <w:rFonts w:hint="eastAsia" w:ascii="仿宋_GB2312" w:eastAsia="仿宋_GB2312"/>
                <w:b/>
                <w:bCs w:val="0"/>
                <w:sz w:val="32"/>
                <w:szCs w:val="32"/>
              </w:rPr>
            </w:pPr>
          </w:p>
        </w:tc>
      </w:tr>
    </w:tbl>
    <w:p>
      <w:pPr>
        <w:spacing w:line="620" w:lineRule="exact"/>
        <w:rPr>
          <w:rFonts w:hint="eastAsia" w:ascii="方正小标宋简体" w:eastAsia="方正小标宋简体"/>
          <w:sz w:val="44"/>
          <w:szCs w:val="44"/>
        </w:rPr>
      </w:pPr>
    </w:p>
    <w:p>
      <w:pPr>
        <w:spacing w:line="620" w:lineRule="exact"/>
        <w:rPr>
          <w:rFonts w:hint="eastAsia" w:ascii="方正小标宋简体" w:eastAsia="方正小标宋简体"/>
          <w:sz w:val="44"/>
          <w:szCs w:val="44"/>
        </w:rPr>
      </w:pPr>
    </w:p>
    <w:tbl>
      <w:tblPr>
        <w:tblStyle w:val="8"/>
        <w:tblW w:w="9490" w:type="dxa"/>
        <w:tblInd w:w="0" w:type="dxa"/>
        <w:tblBorders>
          <w:top w:val="none" w:color="auto" w:sz="0"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90"/>
      </w:tblGrid>
      <w:tr>
        <w:tblPrEx>
          <w:tblBorders>
            <w:top w:val="none" w:color="auto" w:sz="0"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9490" w:type="dxa"/>
            <w:noWrap w:val="0"/>
            <w:vAlign w:val="center"/>
          </w:tcPr>
          <w:p>
            <w:pPr>
              <w:tabs>
                <w:tab w:val="left" w:pos="360"/>
                <w:tab w:val="left" w:pos="7920"/>
              </w:tabs>
              <w:snapToGrid w:val="0"/>
              <w:spacing w:line="538" w:lineRule="atLeast"/>
              <w:jc w:val="center"/>
              <w:textAlignment w:val="baseline"/>
              <w:rPr>
                <w:rFonts w:hint="eastAsia" w:ascii="仿宋_GB2312" w:eastAsia="仿宋_GB2312"/>
                <w:sz w:val="32"/>
                <w:szCs w:val="32"/>
              </w:rPr>
            </w:pPr>
            <w:r>
              <w:rPr>
                <w:rFonts w:hint="eastAsia" w:ascii="仿宋_GB2312" w:eastAsia="仿宋_GB2312"/>
                <w:sz w:val="32"/>
                <w:szCs w:val="32"/>
              </w:rPr>
              <w:t>会</w:t>
            </w:r>
            <w:r>
              <w:rPr>
                <w:rFonts w:hint="eastAsia" w:ascii="仿宋_GB2312" w:eastAsia="仿宋_GB2312"/>
                <w:sz w:val="32"/>
                <w:szCs w:val="32"/>
                <w:lang w:eastAsia="zh-CN"/>
              </w:rPr>
              <w:t>农</w:t>
            </w:r>
            <w:r>
              <w:rPr>
                <w:rFonts w:hint="eastAsia" w:ascii="仿宋_GB2312" w:eastAsia="仿宋_GB2312"/>
                <w:sz w:val="32"/>
                <w:szCs w:val="32"/>
              </w:rPr>
              <w:t>发〔201</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137</w:t>
            </w:r>
            <w:r>
              <w:rPr>
                <w:rFonts w:hint="eastAsia" w:ascii="仿宋_GB2312" w:eastAsia="仿宋_GB2312"/>
                <w:sz w:val="32"/>
                <w:szCs w:val="32"/>
              </w:rPr>
              <w:t>号</w:t>
            </w:r>
          </w:p>
        </w:tc>
      </w:tr>
    </w:tbl>
    <w:p>
      <w:pPr>
        <w:keepNext w:val="0"/>
        <w:keepLines w:val="0"/>
        <w:pageBreakBefore w:val="0"/>
        <w:widowControl w:val="0"/>
        <w:tabs>
          <w:tab w:val="left" w:pos="180"/>
          <w:tab w:val="left" w:pos="360"/>
          <w:tab w:val="left" w:pos="8400"/>
          <w:tab w:val="left" w:pos="8640"/>
        </w:tabs>
        <w:kinsoku/>
        <w:wordWrap/>
        <w:overflowPunct/>
        <w:topLinePunct w:val="0"/>
        <w:autoSpaceDE/>
        <w:autoSpaceDN/>
        <w:bidi w:val="0"/>
        <w:adjustRightInd/>
        <w:snapToGrid/>
        <w:spacing w:line="620" w:lineRule="exact"/>
        <w:ind w:left="0" w:leftChars="0" w:right="0" w:rightChars="0"/>
        <w:jc w:val="center"/>
        <w:textAlignment w:val="auto"/>
        <w:rPr>
          <w:rFonts w:hint="eastAsia" w:ascii="楷体_GB2312" w:eastAsia="楷体_GB2312"/>
          <w:color w:val="000000"/>
          <w:sz w:val="32"/>
          <w:szCs w:val="32"/>
        </w:rPr>
      </w:pPr>
    </w:p>
    <w:p>
      <w:pPr>
        <w:keepNext w:val="0"/>
        <w:keepLines w:val="0"/>
        <w:pageBreakBefore w:val="0"/>
        <w:widowControl w:val="0"/>
        <w:tabs>
          <w:tab w:val="left" w:pos="180"/>
          <w:tab w:val="left" w:pos="360"/>
          <w:tab w:val="left" w:pos="8400"/>
          <w:tab w:val="left" w:pos="8640"/>
        </w:tabs>
        <w:kinsoku/>
        <w:wordWrap/>
        <w:overflowPunct/>
        <w:topLinePunct w:val="0"/>
        <w:autoSpaceDE/>
        <w:autoSpaceDN/>
        <w:bidi w:val="0"/>
        <w:adjustRightInd/>
        <w:snapToGrid/>
        <w:spacing w:line="600" w:lineRule="exact"/>
        <w:ind w:left="0" w:leftChars="0" w:right="0" w:rightChars="0"/>
        <w:textAlignment w:val="auto"/>
        <w:outlineLvl w:val="9"/>
        <w:rPr>
          <w:rFonts w:hint="eastAsia" w:ascii="楷体_GB2312" w:eastAsia="楷体_GB2312"/>
          <w:color w:val="000000"/>
          <w:sz w:val="32"/>
          <w:szCs w:val="32"/>
        </w:rPr>
      </w:pPr>
    </w:p>
    <w:p>
      <w:pPr>
        <w:keepNext w:val="0"/>
        <w:keepLines w:val="0"/>
        <w:pageBreakBefore w:val="0"/>
        <w:widowControl w:val="0"/>
        <w:tabs>
          <w:tab w:val="left" w:pos="180"/>
          <w:tab w:val="left" w:pos="360"/>
          <w:tab w:val="left" w:pos="8400"/>
          <w:tab w:val="left" w:pos="8640"/>
        </w:tabs>
        <w:kinsoku/>
        <w:wordWrap/>
        <w:overflowPunct/>
        <w:topLinePunct w:val="0"/>
        <w:autoSpaceDE/>
        <w:autoSpaceDN/>
        <w:bidi w:val="0"/>
        <w:adjustRightInd/>
        <w:snapToGrid/>
        <w:spacing w:line="620" w:lineRule="exact"/>
        <w:ind w:left="0" w:leftChars="0" w:right="0" w:rightChars="0" w:firstLine="0" w:firstLineChars="0"/>
        <w:jc w:val="center"/>
        <w:textAlignment w:val="auto"/>
        <w:outlineLvl w:val="9"/>
        <w:rPr>
          <w:rFonts w:hint="default" w:ascii="楷体_GB2312" w:eastAsia="方正小标宋简体"/>
          <w:color w:val="000000"/>
          <w:sz w:val="32"/>
          <w:szCs w:val="32"/>
          <w:lang w:val="en-US" w:eastAsia="zh-CN"/>
        </w:rPr>
      </w:pPr>
      <w:r>
        <w:rPr>
          <w:rFonts w:hint="eastAsia" w:ascii="方正小标宋简体" w:hAnsi="方正小标宋简体" w:eastAsia="方正小标宋简体" w:cs="方正小标宋简体"/>
          <w:sz w:val="44"/>
          <w:szCs w:val="44"/>
        </w:rPr>
        <w:t>会宁县</w:t>
      </w:r>
      <w:r>
        <w:rPr>
          <w:rFonts w:hint="eastAsia" w:ascii="方正小标宋简体" w:hAnsi="方正小标宋简体" w:eastAsia="方正小标宋简体" w:cs="方正小标宋简体"/>
          <w:sz w:val="44"/>
          <w:szCs w:val="44"/>
          <w:lang w:eastAsia="zh-CN"/>
        </w:rPr>
        <w:t>农业农村</w:t>
      </w:r>
      <w:r>
        <w:rPr>
          <w:rFonts w:hint="eastAsia" w:ascii="方正小标宋简体" w:hAnsi="方正小标宋简体" w:eastAsia="方正小标宋简体" w:cs="方正小标宋简体"/>
          <w:sz w:val="44"/>
          <w:szCs w:val="44"/>
        </w:rPr>
        <w:t>局</w:t>
      </w:r>
      <w:r>
        <w:rPr>
          <w:rFonts w:hint="eastAsia" w:ascii="方正小标宋简体" w:hAnsi="方正小标宋简体" w:eastAsia="方正小标宋简体" w:cs="方正小标宋简体"/>
          <w:sz w:val="44"/>
          <w:szCs w:val="44"/>
          <w:lang w:val="en-US" w:eastAsia="zh-CN"/>
        </w:rPr>
        <w:t xml:space="preserve">  会宁县财政局</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关于做好</w:t>
      </w:r>
      <w:r>
        <w:rPr>
          <w:rFonts w:hint="eastAsia" w:ascii="方正小标宋简体" w:hAnsi="方正小标宋简体" w:eastAsia="方正小标宋简体" w:cs="方正小标宋简体"/>
          <w:sz w:val="44"/>
          <w:szCs w:val="44"/>
          <w:lang w:val="en-US" w:eastAsia="zh-CN"/>
        </w:rPr>
        <w:t>2019年农业保险工作</w:t>
      </w:r>
      <w:r>
        <w:rPr>
          <w:rFonts w:hint="eastAsia" w:ascii="方正小标宋简体" w:hAnsi="方正小标宋简体" w:eastAsia="方正小标宋简体" w:cs="方正小标宋简体"/>
          <w:sz w:val="44"/>
          <w:szCs w:val="44"/>
        </w:rPr>
        <w:t>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lang w:eastAsia="zh-CN"/>
        </w:rPr>
        <w:t>各乡镇人民政府，各有关保险公司</w:t>
      </w:r>
      <w:r>
        <w:rPr>
          <w:rFonts w:hint="eastAsia" w:ascii="仿宋_GB2312" w:hAnsi="仿宋" w:eastAsia="仿宋_GB2312" w:cs="仿宋"/>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eastAsia="仿宋_GB2312"/>
          <w:sz w:val="32"/>
          <w:lang w:val="en-US" w:eastAsia="zh-CN"/>
        </w:rPr>
      </w:pPr>
      <w:r>
        <w:rPr>
          <w:rFonts w:hint="eastAsia" w:ascii="仿宋_GB2312" w:eastAsia="仿宋_GB2312"/>
          <w:sz w:val="32"/>
          <w:lang w:eastAsia="zh-CN"/>
        </w:rPr>
        <w:t>为防范自然和市场风险，增强农业防灾抗灾能力，助推特色产业发展，确保贫困户稳定脱贫、持续增收，根据甘肃省农业农村厅甘肃省林业和草原局甘肃省财政厅《关于下达201</w:t>
      </w:r>
      <w:r>
        <w:rPr>
          <w:rFonts w:hint="eastAsia" w:ascii="仿宋_GB2312" w:eastAsia="仿宋_GB2312"/>
          <w:sz w:val="32"/>
          <w:lang w:val="en-US" w:eastAsia="zh-CN"/>
        </w:rPr>
        <w:t>9</w:t>
      </w:r>
      <w:r>
        <w:rPr>
          <w:rFonts w:hint="eastAsia" w:ascii="仿宋_GB2312" w:eastAsia="仿宋_GB2312"/>
          <w:sz w:val="32"/>
          <w:lang w:eastAsia="zh-CN"/>
        </w:rPr>
        <w:t>年农业保险任务和资金计划的通知》（甘农财发</w:t>
      </w:r>
      <w:r>
        <w:rPr>
          <w:rFonts w:hint="eastAsia" w:ascii="仿宋_GB2312" w:eastAsia="仿宋_GB2312"/>
          <w:color w:val="000000"/>
          <w:sz w:val="32"/>
          <w:szCs w:val="32"/>
        </w:rPr>
        <w:t>〔201</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号</w:t>
      </w:r>
      <w:r>
        <w:rPr>
          <w:rFonts w:hint="eastAsia" w:ascii="仿宋_GB2312" w:eastAsia="仿宋_GB2312"/>
          <w:sz w:val="32"/>
          <w:lang w:eastAsia="zh-CN"/>
        </w:rPr>
        <w:t>）及会宁县人民政府《关于印发会宁县2018-2020年农业保险助推脱贫攻坚实施方案的通知》</w:t>
      </w:r>
      <w:r>
        <w:rPr>
          <w:rFonts w:hint="eastAsia" w:ascii="仿宋_GB2312" w:eastAsia="仿宋_GB2312"/>
          <w:sz w:val="32"/>
          <w:lang w:val="en-US" w:eastAsia="zh-CN"/>
        </w:rPr>
        <w:t>(</w:t>
      </w:r>
      <w:r>
        <w:rPr>
          <w:rFonts w:hint="eastAsia" w:ascii="仿宋_GB2312" w:eastAsia="仿宋_GB2312"/>
          <w:sz w:val="32"/>
          <w:lang w:eastAsia="zh-CN"/>
        </w:rPr>
        <w:t>会政发〔2018〕159号</w:t>
      </w:r>
      <w:r>
        <w:rPr>
          <w:rFonts w:hint="eastAsia" w:ascii="仿宋_GB2312" w:eastAsia="仿宋_GB2312"/>
          <w:sz w:val="32"/>
          <w:lang w:val="en-US" w:eastAsia="zh-CN"/>
        </w:rPr>
        <w:t>)精神，现就做好2019年农业保险工作通知如下：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sz w:val="32"/>
          <w:lang w:val="en-US" w:eastAsia="zh-CN"/>
        </w:rPr>
      </w:pPr>
      <w:r>
        <w:rPr>
          <w:rFonts w:hint="eastAsia" w:ascii="黑体" w:hAnsi="黑体" w:eastAsia="黑体" w:cs="黑体"/>
          <w:sz w:val="32"/>
          <w:lang w:val="en-US" w:eastAsia="zh-CN"/>
        </w:rPr>
        <w:t>一、切实提高思想认识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outlineLvl w:val="9"/>
        <w:rPr>
          <w:rFonts w:hint="eastAsia" w:ascii="仿宋_GB2312" w:eastAsia="仿宋_GB2312" w:cs="仿宋_GB2312"/>
          <w:color w:val="auto"/>
          <w:sz w:val="32"/>
          <w:szCs w:val="32"/>
          <w:lang w:val="en-US" w:eastAsia="zh-CN" w:bidi="ar-SA"/>
        </w:rPr>
      </w:pPr>
      <w:r>
        <w:rPr>
          <w:rFonts w:hint="eastAsia" w:ascii="仿宋_GB2312" w:eastAsia="仿宋_GB2312" w:cs="仿宋_GB2312"/>
          <w:color w:val="auto"/>
          <w:sz w:val="32"/>
          <w:szCs w:val="32"/>
          <w:lang w:val="en-US" w:eastAsia="zh-CN" w:bidi="ar-SA"/>
        </w:rPr>
        <w:t>农业保险作为专业的现代风险管理工具，具有组合的经济效应与社会效应，是健全农业风险防范机制，提高农业防灾减灾能力的重要措施，对促进农业发展、农民增收、农村脱贫具有重要的“稳定器”作用。2019年是实现整县脱贫摘帽的决战之年，做好农业保险工作显得尤为重要。各乡镇要切实提高思想认识，采取积极有效措施，全力抓好农业保险工作。</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二、明确农业保险险种、承保范围及承保机构</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2019年全县承保农业保险险种</w:t>
      </w:r>
      <w:r>
        <w:rPr>
          <w:rFonts w:hint="eastAsia" w:ascii="仿宋_GB2312" w:eastAsia="仿宋_GB2312"/>
          <w:sz w:val="32"/>
          <w:szCs w:val="32"/>
          <w:lang w:val="en-US" w:eastAsia="zh-CN"/>
        </w:rPr>
        <w:t>13个。有</w:t>
      </w:r>
      <w:r>
        <w:rPr>
          <w:rFonts w:hint="eastAsia" w:ascii="仿宋_GB2312" w:eastAsia="仿宋_GB2312"/>
          <w:sz w:val="32"/>
          <w:szCs w:val="32"/>
          <w:lang w:eastAsia="zh-CN"/>
        </w:rPr>
        <w:t>中央险种主要有玉米、马铃薯、冬小麦、能繁母猪、奶牛等5个品种，承保范围包括贫困户和非贫困户，玉米、马铃薯、冬小麦三个险种由</w:t>
      </w:r>
      <w:r>
        <w:rPr>
          <w:rFonts w:hint="eastAsia" w:ascii="仿宋_GB2312" w:hAnsi="仿宋_GB2312" w:eastAsia="仿宋_GB2312" w:cs="仿宋_GB2312"/>
          <w:sz w:val="32"/>
          <w:szCs w:val="32"/>
          <w:lang w:eastAsia="zh-CN"/>
        </w:rPr>
        <w:t>人保财险公司承办，</w:t>
      </w:r>
      <w:r>
        <w:rPr>
          <w:rFonts w:hint="eastAsia" w:ascii="仿宋_GB2312" w:eastAsia="仿宋_GB2312"/>
          <w:sz w:val="32"/>
          <w:szCs w:val="32"/>
          <w:lang w:eastAsia="zh-CN"/>
        </w:rPr>
        <w:t>能繁母猪、奶牛由</w:t>
      </w:r>
      <w:r>
        <w:rPr>
          <w:rFonts w:hint="eastAsia" w:ascii="仿宋_GB2312" w:hAnsi="仿宋_GB2312" w:eastAsia="仿宋_GB2312" w:cs="仿宋_GB2312"/>
          <w:sz w:val="32"/>
          <w:szCs w:val="32"/>
          <w:lang w:eastAsia="zh-CN"/>
        </w:rPr>
        <w:t>中华财险公司</w:t>
      </w:r>
      <w:r>
        <w:rPr>
          <w:rFonts w:hint="eastAsia" w:ascii="仿宋_GB2312" w:eastAsia="仿宋_GB2312"/>
          <w:sz w:val="32"/>
          <w:szCs w:val="32"/>
          <w:lang w:eastAsia="zh-CN"/>
        </w:rPr>
        <w:t>承办。省级险种有</w:t>
      </w:r>
      <w:r>
        <w:rPr>
          <w:rFonts w:hint="eastAsia" w:ascii="仿宋_GB2312" w:hAnsi="仿宋_GB2312" w:eastAsia="仿宋_GB2312" w:cs="仿宋_GB2312"/>
          <w:sz w:val="32"/>
          <w:szCs w:val="32"/>
          <w:lang w:val="en-US" w:eastAsia="zh-CN"/>
        </w:rPr>
        <w:t>肉牛、肉羊、设施蔬菜、高原夏菜、育肥猪、鸡、中药材（包括党参、黄芪）等7个品种，“一县一品”险种是黑毛驴，</w:t>
      </w:r>
      <w:r>
        <w:rPr>
          <w:rFonts w:hint="eastAsia" w:ascii="仿宋_GB2312" w:eastAsia="仿宋_GB2312"/>
          <w:sz w:val="32"/>
          <w:szCs w:val="32"/>
          <w:lang w:eastAsia="zh-CN"/>
        </w:rPr>
        <w:t>承包范围为全县建档立卡贫困户（其中育肥猪保险</w:t>
      </w:r>
      <w:r>
        <w:rPr>
          <w:rFonts w:hint="eastAsia" w:ascii="仿宋_GB2312" w:eastAsia="仿宋_GB2312"/>
          <w:sz w:val="32"/>
          <w:szCs w:val="32"/>
          <w:lang w:val="en-US" w:eastAsia="zh-CN"/>
        </w:rPr>
        <w:t>31000头计划追加部分全部承保非贫困户</w:t>
      </w:r>
      <w:r>
        <w:rPr>
          <w:rFonts w:hint="eastAsia" w:ascii="仿宋_GB2312" w:eastAsia="仿宋_GB2312"/>
          <w:sz w:val="32"/>
          <w:szCs w:val="32"/>
          <w:lang w:eastAsia="zh-CN"/>
        </w:rPr>
        <w:t>），经白银市公共资源交易中心统一公开招标确定由</w:t>
      </w:r>
      <w:r>
        <w:rPr>
          <w:rFonts w:hint="eastAsia" w:ascii="仿宋_GB2312" w:hAnsi="仿宋_GB2312" w:eastAsia="仿宋_GB2312" w:cs="仿宋_GB2312"/>
          <w:sz w:val="32"/>
          <w:szCs w:val="32"/>
          <w:lang w:eastAsia="zh-CN"/>
        </w:rPr>
        <w:t>人保财险公司、中华财险公司、太平洋财险公司三家保险公司承保，人保财险公司承保会师镇、甘沟驿镇、大沟镇、韩集镇、土门岘镇、新塬镇、八里湾乡、平头川镇、柴家门镇等9个乡镇，中华财险公司承保汉家岔镇、头寨子镇、河畔镇、郭城驿镇、新庄镇、白草塬镇、草滩镇、土高山乡、刘家寨子镇、四房吴镇等10个乡镇，太平洋财险公司承保新添乡、丁家沟镇、中川镇、杨集镇、党家岘乡、太平店镇、老君坡镇、侯家川镇、翟所镇等9个乡镇</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黑体" w:hAnsi="黑体" w:eastAsia="黑体" w:cs="黑体"/>
          <w:b w:val="0"/>
          <w:bCs w:val="0"/>
          <w:i w:val="0"/>
          <w:caps w:val="0"/>
          <w:color w:val="111111"/>
          <w:spacing w:val="0"/>
          <w:sz w:val="32"/>
          <w:szCs w:val="32"/>
          <w:lang w:eastAsia="zh-CN"/>
        </w:rPr>
      </w:pPr>
      <w:r>
        <w:rPr>
          <w:rFonts w:hint="eastAsia" w:ascii="黑体" w:hAnsi="黑体" w:eastAsia="黑体" w:cs="黑体"/>
          <w:b w:val="0"/>
          <w:bCs w:val="0"/>
          <w:i w:val="0"/>
          <w:caps w:val="0"/>
          <w:color w:val="111111"/>
          <w:spacing w:val="0"/>
          <w:sz w:val="32"/>
          <w:szCs w:val="32"/>
          <w:lang w:eastAsia="zh-CN"/>
        </w:rPr>
        <w:t>三、广泛开展宣传动员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600" w:lineRule="exact"/>
        <w:ind w:left="0" w:leftChars="0" w:right="0" w:rightChars="0" w:firstLine="640" w:firstLineChars="200"/>
        <w:jc w:val="both"/>
        <w:textAlignment w:val="auto"/>
        <w:outlineLvl w:val="9"/>
        <w:rPr>
          <w:rFonts w:hint="eastAsia" w:ascii="仿宋_GB2312" w:hAnsi="仿宋_GB2312" w:eastAsia="仿宋_GB2312" w:cs="仿宋_GB2312"/>
          <w:b w:val="0"/>
          <w:i w:val="0"/>
          <w:caps w:val="0"/>
          <w:color w:val="111111"/>
          <w:spacing w:val="0"/>
          <w:kern w:val="0"/>
          <w:sz w:val="32"/>
          <w:szCs w:val="32"/>
          <w:lang w:val="en-US" w:eastAsia="zh-CN" w:bidi="ar-SA"/>
        </w:rPr>
      </w:pPr>
      <w:r>
        <w:rPr>
          <w:rFonts w:hint="eastAsia" w:ascii="仿宋_GB2312" w:hAnsi="仿宋_GB2312" w:eastAsia="仿宋_GB2312" w:cs="仿宋_GB2312"/>
          <w:b w:val="0"/>
          <w:i w:val="0"/>
          <w:caps w:val="0"/>
          <w:color w:val="111111"/>
          <w:spacing w:val="0"/>
          <w:kern w:val="0"/>
          <w:sz w:val="32"/>
          <w:szCs w:val="32"/>
          <w:lang w:val="en-US" w:eastAsia="zh-CN" w:bidi="ar-SA"/>
        </w:rPr>
        <w:t>各乡镇、各承保保险公司要充分利用广播、电视、报刊、网站、微信等宣传媒介，采取出动宣传车、张贴宣传挂图、发放宣传手册、刷印墙体广告等形式，开展全方位、立体化的宣传，着力提高知晓度、理解度。各帮扶单位和帮扶责任人要深入乡镇村组、农户宣传农业保险的责任范围、各方承担保费的比例、赔偿标准和流程等重点内容，特别是重点宣传投保受灾、及时赔付的典型案例，充分发挥实例的引导作用，提升广大人民群众的灾害风险防范意识和保险意识，引导其积极主动参加农业保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sz w:val="32"/>
          <w:lang w:val="en-US" w:eastAsia="zh-CN"/>
        </w:rPr>
      </w:pPr>
      <w:r>
        <w:rPr>
          <w:rFonts w:hint="eastAsia" w:ascii="黑体" w:hAnsi="黑体" w:eastAsia="黑体" w:cs="黑体"/>
          <w:sz w:val="32"/>
          <w:lang w:val="en-US" w:eastAsia="zh-CN"/>
        </w:rPr>
        <w:t>四、迅速开展入户承保工作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eastAsia="仿宋_GB2312"/>
          <w:sz w:val="32"/>
          <w:lang w:eastAsia="zh-CN"/>
        </w:rPr>
      </w:pPr>
      <w:r>
        <w:rPr>
          <w:rFonts w:hint="eastAsia" w:ascii="仿宋_GB2312" w:eastAsia="仿宋_GB2312"/>
          <w:sz w:val="32"/>
          <w:lang w:eastAsia="zh-CN"/>
        </w:rPr>
        <w:t>各乡镇人民政府要承担农业保险实施主体责任，引导农户自愿投保，协助承保保险公司收取农户自缴部分保费、投保等工作，并对农户承保信息的真实性负全责。要严格按照</w:t>
      </w:r>
      <w:r>
        <w:rPr>
          <w:rFonts w:hint="eastAsia" w:ascii="仿宋_GB2312" w:eastAsia="仿宋_GB2312"/>
          <w:sz w:val="32"/>
          <w:lang w:val="en-US" w:eastAsia="zh-CN"/>
        </w:rPr>
        <w:t>2019年</w:t>
      </w:r>
      <w:r>
        <w:rPr>
          <w:rFonts w:hint="eastAsia" w:ascii="仿宋_GB2312" w:eastAsia="仿宋_GB2312" w:cs="仿宋_GB2312"/>
          <w:sz w:val="32"/>
          <w:szCs w:val="32"/>
          <w:lang w:eastAsia="zh-CN"/>
        </w:rPr>
        <w:t>农业保险</w:t>
      </w:r>
      <w:r>
        <w:rPr>
          <w:rFonts w:hint="eastAsia" w:ascii="仿宋_GB2312" w:eastAsia="仿宋_GB2312"/>
          <w:sz w:val="32"/>
          <w:lang w:eastAsia="zh-CN"/>
        </w:rPr>
        <w:t>计划任务（详见附件</w:t>
      </w:r>
      <w:r>
        <w:rPr>
          <w:rFonts w:hint="eastAsia" w:ascii="仿宋_GB2312" w:eastAsia="仿宋_GB2312"/>
          <w:sz w:val="32"/>
          <w:lang w:val="en-US" w:eastAsia="zh-CN"/>
        </w:rPr>
        <w:t>2</w:t>
      </w:r>
      <w:r>
        <w:rPr>
          <w:rFonts w:hint="eastAsia" w:ascii="仿宋_GB2312" w:eastAsia="仿宋_GB2312"/>
          <w:sz w:val="32"/>
          <w:lang w:eastAsia="zh-CN"/>
        </w:rPr>
        <w:t>），扎实开展政策宣传、</w:t>
      </w:r>
      <w:r>
        <w:rPr>
          <w:rFonts w:hint="eastAsia" w:ascii="仿宋_GB2312" w:eastAsia="仿宋_GB2312"/>
          <w:color w:val="auto"/>
          <w:sz w:val="32"/>
          <w:lang w:eastAsia="zh-CN"/>
        </w:rPr>
        <w:t>标的核查等工</w:t>
      </w:r>
      <w:r>
        <w:rPr>
          <w:rFonts w:hint="eastAsia" w:ascii="仿宋_GB2312" w:eastAsia="仿宋_GB2312"/>
          <w:sz w:val="32"/>
          <w:lang w:eastAsia="zh-CN"/>
        </w:rPr>
        <w:t>作，组织人员尽快入户，认真做好入户签单承保，及时</w:t>
      </w:r>
      <w:r>
        <w:rPr>
          <w:rFonts w:hint="eastAsia" w:ascii="仿宋_GB2312" w:eastAsia="仿宋_GB2312" w:cs="仿宋_GB2312"/>
          <w:sz w:val="32"/>
          <w:szCs w:val="32"/>
          <w:lang w:eastAsia="zh-CN"/>
        </w:rPr>
        <w:t>完成</w:t>
      </w:r>
      <w:r>
        <w:rPr>
          <w:rFonts w:hint="eastAsia" w:ascii="仿宋_GB2312" w:eastAsia="仿宋_GB2312"/>
          <w:sz w:val="32"/>
          <w:lang w:val="en-US" w:eastAsia="zh-CN"/>
        </w:rPr>
        <w:t>2019年</w:t>
      </w:r>
      <w:r>
        <w:rPr>
          <w:rFonts w:hint="eastAsia" w:ascii="仿宋_GB2312" w:eastAsia="仿宋_GB2312" w:cs="仿宋_GB2312"/>
          <w:sz w:val="32"/>
          <w:szCs w:val="32"/>
          <w:lang w:eastAsia="zh-CN"/>
        </w:rPr>
        <w:t>农业保险品种的</w:t>
      </w:r>
      <w:r>
        <w:rPr>
          <w:rFonts w:hint="eastAsia" w:ascii="仿宋_GB2312" w:eastAsia="仿宋_GB2312"/>
          <w:sz w:val="32"/>
          <w:lang w:eastAsia="zh-CN"/>
        </w:rPr>
        <w:t>签单落地工作，确保所有建档立卡贫困户种养殖品种应保尽保</w:t>
      </w:r>
      <w:r>
        <w:rPr>
          <w:rFonts w:hint="eastAsia" w:ascii="仿宋_GB2312" w:eastAsia="仿宋_GB2312" w:cs="仿宋_GB2312"/>
          <w:sz w:val="32"/>
          <w:szCs w:val="32"/>
          <w:lang w:eastAsia="zh-CN"/>
        </w:rPr>
        <w:t>。各承保</w:t>
      </w:r>
      <w:r>
        <w:rPr>
          <w:rFonts w:hint="eastAsia" w:ascii="仿宋_GB2312" w:eastAsia="仿宋_GB2312"/>
          <w:sz w:val="32"/>
          <w:lang w:eastAsia="zh-CN"/>
        </w:rPr>
        <w:t>保险公司要相互协调，切实做到</w:t>
      </w:r>
      <w:r>
        <w:rPr>
          <w:rFonts w:hint="eastAsia" w:ascii="仿宋_GB2312" w:hAnsi="仿宋_GB2312" w:eastAsia="仿宋_GB2312" w:cs="仿宋_GB2312"/>
          <w:sz w:val="32"/>
          <w:szCs w:val="32"/>
          <w:lang w:val="en-US" w:eastAsia="zh-CN"/>
        </w:rPr>
        <w:t>“以户为单位”出具保单，全面落实“一户一单、一户一赔”工作要求</w:t>
      </w:r>
      <w:r>
        <w:rPr>
          <w:rFonts w:hint="eastAsia" w:ascii="仿宋_GB2312" w:eastAsia="仿宋_GB2312"/>
          <w:sz w:val="32"/>
          <w:lang w:eastAsia="zh-CN"/>
        </w:rPr>
        <w:t>；加强与乡镇的配合协作，加快村级农金室建设步伐，做好人员配备，尽快开展工作；</w:t>
      </w:r>
      <w:r>
        <w:rPr>
          <w:rFonts w:hint="eastAsia" w:ascii="仿宋_GB2312" w:hAnsi="仿宋_GB2312" w:eastAsia="仿宋_GB2312" w:cs="仿宋_GB2312"/>
          <w:b w:val="0"/>
          <w:bCs w:val="0"/>
          <w:sz w:val="32"/>
          <w:szCs w:val="32"/>
          <w:lang w:val="en-US" w:eastAsia="zh-CN"/>
        </w:rPr>
        <w:t>建立健全工作台账管理和公示公开制度，切实做到“五公开、三到户”；</w:t>
      </w:r>
      <w:r>
        <w:rPr>
          <w:rFonts w:hint="eastAsia" w:ascii="仿宋_GB2312" w:eastAsia="仿宋_GB2312"/>
          <w:sz w:val="32"/>
          <w:lang w:eastAsia="zh-CN"/>
        </w:rPr>
        <w:t>管理和核算农业保险资金，组织好农业保险查勘定损工作。</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jc w:val="both"/>
        <w:textAlignment w:val="auto"/>
        <w:outlineLvl w:val="9"/>
        <w:rPr>
          <w:rFonts w:hint="eastAsia" w:ascii="黑体" w:hAnsi="黑体" w:eastAsia="黑体" w:cs="黑体"/>
          <w:sz w:val="32"/>
          <w:lang w:val="en-US" w:eastAsia="zh-CN"/>
        </w:rPr>
      </w:pPr>
      <w:r>
        <w:rPr>
          <w:rFonts w:hint="eastAsia" w:ascii="黑体" w:hAnsi="黑体" w:eastAsia="黑体" w:cs="黑体"/>
          <w:sz w:val="32"/>
          <w:lang w:val="en-US" w:eastAsia="zh-CN"/>
        </w:rPr>
        <w:t>五、严格督查考核</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jc w:val="both"/>
        <w:textAlignment w:val="auto"/>
        <w:outlineLvl w:val="9"/>
        <w:rPr>
          <w:rFonts w:hint="default"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县农业农村局将会同县农业保险助推脱贫攻坚工作领导小组成员单位组成督查组，对农业保险宣传培训、入户承保、查勘理赔等工作进行督促检查。督查组将对工作进展缓慢或群众反映存在违规承保等问题的乡镇和保险公司，采取“四不两直”（不发通知、不打招呼、不听汇报、不用陪同接待、直奔基层、直插现场）的方式进行检查，</w:t>
      </w:r>
      <w:r>
        <w:rPr>
          <w:rFonts w:hint="eastAsia" w:ascii="仿宋_GB2312" w:eastAsia="仿宋_GB2312" w:cs="仿宋_GB2312"/>
          <w:color w:val="auto"/>
          <w:sz w:val="32"/>
          <w:szCs w:val="32"/>
          <w:lang w:eastAsia="zh-CN" w:bidi="ar-SA"/>
        </w:rPr>
        <w:t>根据督查检查情况进行排名，并在全县范围内进行通报，推动农业保险工作</w:t>
      </w:r>
      <w:r>
        <w:rPr>
          <w:rFonts w:hint="eastAsia" w:ascii="仿宋_GB2312" w:eastAsia="仿宋_GB2312" w:cs="仿宋_GB2312"/>
          <w:color w:val="auto"/>
          <w:sz w:val="32"/>
          <w:szCs w:val="32"/>
          <w:lang w:val="en-US" w:eastAsia="zh-CN" w:bidi="ar-SA"/>
        </w:rPr>
        <w:t>任务落到实处。同时，2019年县上将</w:t>
      </w:r>
      <w:r>
        <w:rPr>
          <w:rFonts w:hint="eastAsia" w:ascii="仿宋_GB2312" w:hAnsi="仿宋_GB2312" w:eastAsia="仿宋_GB2312" w:cs="仿宋_GB2312"/>
          <w:b w:val="0"/>
          <w:i w:val="0"/>
          <w:caps w:val="0"/>
          <w:color w:val="111111"/>
          <w:spacing w:val="0"/>
          <w:kern w:val="2"/>
          <w:sz w:val="32"/>
          <w:szCs w:val="32"/>
          <w:lang w:val="en-US" w:eastAsia="zh-CN" w:bidi="ar-SA"/>
        </w:rPr>
        <w:t>对农业保险工作实行目标考核管理，纳入县政府年度考核目标，加大考核分值权重，年终对年度任务完成情况进行考核。</w:t>
      </w:r>
      <w:r>
        <w:rPr>
          <w:rFonts w:hint="eastAsia" w:ascii="仿宋_GB2312" w:hAnsi="仿宋_GB2312" w:eastAsia="仿宋_GB2312" w:cs="仿宋_GB2312"/>
          <w:sz w:val="32"/>
          <w:lang w:val="en-US" w:eastAsia="zh-CN"/>
        </w:rPr>
        <w:t>对各承保保险公司承保、查勘理赔服务质量、保费补贴资金使用等情况进行考核，并将考核结果作为今后确定承保机构、承保区域及份额的重要指标。县上将</w:t>
      </w:r>
      <w:r>
        <w:rPr>
          <w:rFonts w:hint="eastAsia" w:ascii="仿宋_GB2312" w:hAnsi="仿宋_GB2312" w:eastAsia="仿宋_GB2312" w:cs="仿宋_GB2312"/>
          <w:b w:val="0"/>
          <w:i w:val="0"/>
          <w:caps w:val="0"/>
          <w:color w:val="111111"/>
          <w:spacing w:val="0"/>
          <w:kern w:val="2"/>
          <w:sz w:val="32"/>
          <w:szCs w:val="32"/>
          <w:lang w:val="en-US" w:eastAsia="zh-CN" w:bidi="ar-SA"/>
        </w:rPr>
        <w:t>严肃查处虚构、虚增保险标的，或者以同一标的进行多次投保等各类骗取套取保费补贴资金的违法违规行为，</w:t>
      </w:r>
      <w:r>
        <w:rPr>
          <w:rFonts w:hint="eastAsia" w:ascii="仿宋_GB2312" w:hAnsi="仿宋_GB2312" w:eastAsia="仿宋_GB2312" w:cs="仿宋_GB2312"/>
          <w:sz w:val="32"/>
          <w:lang w:val="en-US" w:eastAsia="zh-CN"/>
        </w:rPr>
        <w:t>对漏保贫困户、骗保、不具实承保的保险公司进行一票否决，直接取消承保资格，根据性质将相关责任人提交纪委监委、银保监部门给予相关处理，并按照相关法律法规进行处理。</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jc w:val="both"/>
        <w:textAlignment w:val="auto"/>
        <w:outlineLvl w:val="9"/>
        <w:rPr>
          <w:rFonts w:hint="eastAsia" w:ascii="黑体" w:hAnsi="黑体" w:eastAsia="黑体" w:cs="黑体"/>
          <w:sz w:val="32"/>
          <w:lang w:val="en-US" w:eastAsia="zh-CN"/>
        </w:rPr>
      </w:pPr>
      <w:r>
        <w:rPr>
          <w:rFonts w:hint="eastAsia" w:ascii="黑体" w:hAnsi="黑体" w:eastAsia="黑体" w:cs="黑体"/>
          <w:sz w:val="32"/>
          <w:lang w:val="en-US" w:eastAsia="zh-CN"/>
        </w:rPr>
        <w:t>六、报送进展情况</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i w:val="0"/>
          <w:caps w:val="0"/>
          <w:color w:val="auto"/>
          <w:spacing w:val="0"/>
          <w:sz w:val="32"/>
          <w:szCs w:val="32"/>
          <w:lang w:eastAsia="zh-CN"/>
        </w:rPr>
        <w:t>实行月报告、季督查通报制度，各乡镇要确定专人负责报送工作进展情况，每周星期四</w:t>
      </w:r>
      <w:r>
        <w:rPr>
          <w:rFonts w:hint="eastAsia" w:ascii="仿宋_GB2312" w:eastAsia="仿宋_GB2312" w:cs="仿宋_GB2312"/>
          <w:color w:val="auto"/>
          <w:sz w:val="32"/>
          <w:szCs w:val="32"/>
          <w:lang w:eastAsia="zh-CN" w:bidi="ar-SA"/>
        </w:rPr>
        <w:t>前</w:t>
      </w:r>
      <w:r>
        <w:rPr>
          <w:rFonts w:hint="eastAsia" w:ascii="仿宋_GB2312" w:hAnsi="仿宋_GB2312" w:eastAsia="仿宋_GB2312" w:cs="仿宋_GB2312"/>
          <w:b w:val="0"/>
          <w:i w:val="0"/>
          <w:caps w:val="0"/>
          <w:color w:val="auto"/>
          <w:spacing w:val="0"/>
          <w:sz w:val="32"/>
          <w:szCs w:val="32"/>
          <w:lang w:eastAsia="zh-CN"/>
        </w:rPr>
        <w:t>向</w:t>
      </w:r>
      <w:r>
        <w:rPr>
          <w:rFonts w:hint="eastAsia" w:ascii="仿宋_GB2312" w:eastAsia="仿宋_GB2312" w:cs="仿宋_GB2312"/>
          <w:color w:val="auto"/>
          <w:sz w:val="32"/>
          <w:szCs w:val="32"/>
          <w:lang w:eastAsia="zh-CN" w:bidi="ar-SA"/>
        </w:rPr>
        <w:t>县农业农村局报送上周农业保险工作进展情况；</w:t>
      </w:r>
      <w:r>
        <w:rPr>
          <w:rFonts w:hint="eastAsia" w:ascii="仿宋_GB2312" w:hAnsi="仿宋_GB2312" w:eastAsia="仿宋_GB2312" w:cs="仿宋_GB2312"/>
          <w:b w:val="0"/>
          <w:i w:val="0"/>
          <w:caps w:val="0"/>
          <w:color w:val="auto"/>
          <w:spacing w:val="0"/>
          <w:sz w:val="32"/>
          <w:szCs w:val="32"/>
          <w:lang w:eastAsia="zh-CN"/>
        </w:rPr>
        <w:t>各承保保险公司</w:t>
      </w:r>
      <w:r>
        <w:rPr>
          <w:rFonts w:hint="eastAsia" w:ascii="仿宋_GB2312" w:eastAsia="仿宋_GB2312" w:cs="仿宋_GB2312"/>
          <w:color w:val="auto"/>
          <w:sz w:val="32"/>
          <w:szCs w:val="32"/>
          <w:lang w:eastAsia="zh-CN" w:bidi="ar-SA"/>
        </w:rPr>
        <w:t>每周</w:t>
      </w:r>
      <w:r>
        <w:rPr>
          <w:rFonts w:hint="eastAsia" w:ascii="仿宋_GB2312" w:eastAsia="仿宋_GB2312" w:cs="仿宋_GB2312"/>
          <w:color w:val="auto"/>
          <w:sz w:val="32"/>
          <w:szCs w:val="32"/>
          <w:lang w:val="en-US" w:eastAsia="zh-CN" w:bidi="ar-SA"/>
        </w:rPr>
        <w:t>四</w:t>
      </w:r>
      <w:r>
        <w:rPr>
          <w:rFonts w:hint="eastAsia" w:ascii="仿宋_GB2312" w:eastAsia="仿宋_GB2312" w:cs="仿宋_GB2312"/>
          <w:color w:val="auto"/>
          <w:sz w:val="32"/>
          <w:szCs w:val="32"/>
          <w:lang w:eastAsia="zh-CN" w:bidi="ar-SA"/>
        </w:rPr>
        <w:t>前要向县农业农村局报送上周承保和理赔情况，</w:t>
      </w:r>
      <w:r>
        <w:rPr>
          <w:rFonts w:hint="eastAsia" w:ascii="仿宋_GB2312" w:eastAsia="仿宋_GB2312" w:cs="仿宋_GB2312"/>
          <w:color w:val="auto"/>
          <w:sz w:val="32"/>
          <w:szCs w:val="32"/>
          <w:lang w:val="en-US" w:eastAsia="zh-CN" w:bidi="ar-SA"/>
        </w:rPr>
        <w:t>9月30日前报送本年度农业保险工作总结</w:t>
      </w:r>
      <w:r>
        <w:rPr>
          <w:rFonts w:hint="eastAsia" w:ascii="仿宋_GB2312" w:eastAsia="仿宋_GB2312" w:cs="仿宋_GB2312"/>
          <w:color w:val="auto"/>
          <w:sz w:val="32"/>
          <w:szCs w:val="32"/>
          <w:lang w:eastAsia="zh-CN" w:bidi="ar-SA"/>
        </w:rPr>
        <w:t>。</w:t>
      </w:r>
    </w:p>
    <w:p>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联系电话：3221872，邮箱：</w:t>
      </w: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"mailto:26731985@qq.com" </w:instrText>
      </w:r>
      <w:r>
        <w:rPr>
          <w:rFonts w:hint="eastAsia" w:ascii="仿宋_GB2312" w:hAnsi="仿宋_GB2312" w:eastAsia="仿宋_GB2312" w:cs="仿宋_GB2312"/>
          <w:b w:val="0"/>
          <w:bCs w:val="0"/>
          <w:sz w:val="32"/>
          <w:szCs w:val="32"/>
          <w:lang w:val="en-US" w:eastAsia="zh-CN"/>
        </w:rPr>
        <w:fldChar w:fldCharType="separate"/>
      </w:r>
      <w:r>
        <w:rPr>
          <w:rStyle w:val="10"/>
          <w:rFonts w:hint="eastAsia" w:ascii="仿宋_GB2312" w:hAnsi="仿宋_GB2312" w:eastAsia="仿宋_GB2312" w:cs="仿宋_GB2312"/>
          <w:b w:val="0"/>
          <w:bCs w:val="0"/>
          <w:sz w:val="32"/>
          <w:szCs w:val="32"/>
          <w:lang w:val="en-US" w:eastAsia="zh-CN"/>
        </w:rPr>
        <w:t>26731985@qq.com</w:t>
      </w:r>
      <w:r>
        <w:rPr>
          <w:rFonts w:hint="eastAsia" w:ascii="仿宋_GB2312" w:hAnsi="仿宋_GB2312" w:eastAsia="仿宋_GB2312" w:cs="仿宋_GB2312"/>
          <w:b w:val="0"/>
          <w:bCs w:val="0"/>
          <w:sz w:val="32"/>
          <w:szCs w:val="32"/>
          <w:lang w:val="en-US" w:eastAsia="zh-CN"/>
        </w:rPr>
        <w:fldChar w:fldCharType="end"/>
      </w:r>
      <w:r>
        <w:rPr>
          <w:rFonts w:hint="eastAsia" w:ascii="仿宋_GB2312" w:hAnsi="仿宋_GB2312" w:eastAsia="仿宋_GB2312" w:cs="仿宋_GB2312"/>
          <w:b w:val="0"/>
          <w:bCs w:val="0"/>
          <w:sz w:val="32"/>
          <w:szCs w:val="32"/>
          <w:lang w:val="en-US" w:eastAsia="zh-CN"/>
        </w:rPr>
        <w:t>。</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_GB2312" w:hAnsi="仿宋_GB2312" w:eastAsia="仿宋_GB2312" w:cs="仿宋_GB2312"/>
          <w:sz w:val="32"/>
        </w:rPr>
      </w:pP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仿宋_GB2312" w:hAnsi="仿宋_GB2312" w:eastAsia="仿宋_GB2312" w:cs="仿宋_GB2312"/>
          <w:w w:val="95"/>
          <w:sz w:val="32"/>
          <w:lang w:val="en-US" w:eastAsia="zh-CN"/>
        </w:rPr>
      </w:pPr>
      <w:r>
        <w:rPr>
          <w:rFonts w:hint="eastAsia" w:ascii="仿宋_GB2312" w:hAnsi="仿宋_GB2312" w:eastAsia="仿宋_GB2312" w:cs="仿宋_GB2312"/>
          <w:sz w:val="32"/>
        </w:rPr>
        <w:t>附件：</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w w:val="95"/>
          <w:sz w:val="32"/>
          <w:lang w:val="en-US" w:eastAsia="zh-CN"/>
        </w:rPr>
        <w:t>甘肃省2019年农业保险中央和省级补贴品种一览表</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1540" w:firstLineChars="500"/>
        <w:textAlignment w:val="auto"/>
        <w:outlineLvl w:val="9"/>
        <w:rPr>
          <w:rFonts w:hint="eastAsia" w:ascii="仿宋_GB2312" w:eastAsia="仿宋_GB2312" w:cs="仿宋_GB2312"/>
          <w:spacing w:val="-6"/>
          <w:sz w:val="32"/>
          <w:szCs w:val="32"/>
          <w:lang w:eastAsia="zh-CN"/>
        </w:rPr>
      </w:pPr>
      <w:r>
        <w:rPr>
          <w:rFonts w:hint="eastAsia" w:ascii="仿宋_GB2312" w:eastAsia="仿宋_GB2312"/>
          <w:spacing w:val="-6"/>
          <w:sz w:val="32"/>
          <w:lang w:val="en-US" w:eastAsia="zh-CN"/>
        </w:rPr>
        <w:t>2.2019年全县</w:t>
      </w:r>
      <w:r>
        <w:rPr>
          <w:rFonts w:hint="eastAsia" w:ascii="仿宋_GB2312" w:eastAsia="仿宋_GB2312" w:cs="仿宋_GB2312"/>
          <w:spacing w:val="-6"/>
          <w:sz w:val="32"/>
          <w:szCs w:val="32"/>
          <w:lang w:eastAsia="zh-CN"/>
        </w:rPr>
        <w:t>农业保险指导任务计划表</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1600" w:firstLineChars="500"/>
        <w:textAlignment w:val="auto"/>
        <w:outlineLvl w:val="9"/>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会宁县2019年农业保险（中央补助品种及“一</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1600" w:firstLineChars="500"/>
        <w:textAlignment w:val="auto"/>
        <w:outlineLvl w:val="9"/>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县一品”黑毛驴）农户承保清册</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1600" w:firstLineChars="500"/>
        <w:textAlignment w:val="auto"/>
        <w:outlineLvl w:val="9"/>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会宁县2019年农业保险（省级补助品种）农户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500" w:firstLine="960" w:firstLineChars="300"/>
        <w:textAlignment w:val="auto"/>
        <w:outlineLvl w:val="9"/>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承保清册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outlineLvl w:val="9"/>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6、会宁县2019年农业保险（中央补助品种及“一</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500" w:firstLine="960" w:firstLineChars="3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县一品”黑毛驴）汇总表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7、甘肃省2019年农业保险工作进展情况调度（汇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500" w:firstLine="960" w:firstLineChars="300"/>
        <w:textAlignment w:val="auto"/>
        <w:rPr>
          <w:rFonts w:hint="default"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总）表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ascii="黑体" w:hAnsi="仿宋_GB2312" w:eastAsia="黑体" w:cs="仿宋_GB2312"/>
          <w:sz w:val="32"/>
        </w:rPr>
      </w:pP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420" w:firstLineChars="200"/>
        <w:textAlignment w:val="auto"/>
        <w:rPr>
          <w:rFonts w:hint="eastAsia"/>
        </w:rPr>
      </w:pP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pacing w:line="600" w:lineRule="exact"/>
        <w:ind w:right="0" w:rightChars="0" w:firstLine="2880" w:firstLineChars="900"/>
        <w:outlineLvl w:val="9"/>
        <w:rPr>
          <w:rFonts w:hint="eastAsia" w:ascii="仿宋_GB2312" w:hAnsi="仿宋_GB2312" w:eastAsia="仿宋_GB2312" w:cs="仿宋_GB2312"/>
          <w:sz w:val="32"/>
          <w:lang w:eastAsia="zh-CN"/>
        </w:rPr>
      </w:pPr>
      <w:r>
        <w:rPr>
          <w:rFonts w:hint="eastAsia" w:ascii="仿宋_GB2312" w:eastAsia="仿宋_GB2312"/>
          <w:sz w:val="32"/>
          <w:szCs w:val="32"/>
          <w:lang w:val="en-US" w:eastAsia="zh-CN"/>
        </w:rPr>
        <w:t xml:space="preserve"> </w:t>
      </w:r>
      <w:r>
        <w:rPr>
          <w:rFonts w:hint="eastAsia" w:ascii="仿宋_GB2312" w:hAnsi="仿宋_GB2312" w:eastAsia="仿宋_GB2312" w:cs="仿宋_GB2312"/>
          <w:sz w:val="32"/>
          <w:lang w:eastAsia="zh-CN"/>
        </w:rPr>
        <w:t>会宁县农业农村局</w:t>
      </w:r>
      <w:r>
        <w:rPr>
          <w:rFonts w:hint="eastAsia" w:ascii="仿宋_GB2312" w:hAnsi="仿宋_GB2312" w:eastAsia="仿宋_GB2312" w:cs="仿宋_GB2312"/>
          <w:sz w:val="32"/>
          <w:lang w:val="en-US" w:eastAsia="zh-CN"/>
        </w:rPr>
        <w:t xml:space="preserve">   </w:t>
      </w:r>
      <w:r>
        <w:rPr>
          <w:rFonts w:hint="eastAsia" w:ascii="仿宋_GB2312" w:eastAsia="仿宋_GB2312"/>
          <w:sz w:val="32"/>
          <w:szCs w:val="32"/>
        </w:rPr>
        <w:t>会宁县财政局</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760" w:firstLineChars="1800"/>
        <w:textAlignment w:val="auto"/>
        <w:outlineLvl w:val="9"/>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2019年4月8日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仿宋_GB2312" w:eastAsia="黑体" w:cs="仿宋_GB2312"/>
          <w:sz w:val="32"/>
        </w:rPr>
      </w:pPr>
    </w:p>
    <w:p>
      <w:pPr>
        <w:pStyle w:val="2"/>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黑体" w:hAnsi="仿宋_GB2312" w:eastAsia="黑体" w:cs="仿宋_GB2312"/>
          <w:sz w:val="32"/>
        </w:rPr>
      </w:pPr>
    </w:p>
    <w:p>
      <w:pPr>
        <w:pStyle w:val="2"/>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黑体" w:hAnsi="仿宋_GB2312" w:eastAsia="黑体" w:cs="仿宋_GB2312"/>
          <w:sz w:val="32"/>
        </w:rPr>
      </w:pPr>
    </w:p>
    <w:p>
      <w:pPr>
        <w:pStyle w:val="2"/>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黑体" w:hAnsi="仿宋_GB2312" w:eastAsia="黑体" w:cs="仿宋_GB2312"/>
          <w:sz w:val="32"/>
        </w:rPr>
      </w:pPr>
    </w:p>
    <w:p>
      <w:pPr>
        <w:pStyle w:val="2"/>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黑体" w:hAnsi="仿宋_GB2312" w:eastAsia="黑体" w:cs="仿宋_GB2312"/>
          <w:sz w:val="32"/>
        </w:rPr>
      </w:pPr>
    </w:p>
    <w:p>
      <w:pPr>
        <w:pStyle w:val="2"/>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黑体" w:hAnsi="仿宋_GB2312" w:eastAsia="黑体" w:cs="仿宋_GB2312"/>
          <w:sz w:val="32"/>
        </w:rPr>
      </w:pPr>
    </w:p>
    <w:p>
      <w:pPr>
        <w:pStyle w:val="2"/>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黑体" w:hAnsi="仿宋_GB2312" w:eastAsia="黑体" w:cs="仿宋_GB2312"/>
          <w:sz w:val="32"/>
        </w:rPr>
      </w:pPr>
    </w:p>
    <w:p>
      <w:pPr>
        <w:pStyle w:val="2"/>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黑体" w:hAnsi="仿宋_GB2312" w:eastAsia="黑体" w:cs="仿宋_GB2312"/>
          <w:sz w:val="32"/>
        </w:rPr>
      </w:pPr>
      <w:bookmarkStart w:id="0" w:name="_GoBack"/>
      <w:bookmarkEnd w:id="0"/>
    </w:p>
    <w:tbl>
      <w:tblPr>
        <w:tblStyle w:val="7"/>
        <w:tblW w:w="8786" w:type="dxa"/>
        <w:jc w:val="center"/>
        <w:tblInd w:w="57" w:type="dxa"/>
        <w:tblBorders>
          <w:top w:val="single" w:color="auto" w:sz="8" w:space="0"/>
          <w:left w:val="none" w:color="auto" w:sz="0" w:space="0"/>
          <w:bottom w:val="single" w:color="auto" w:sz="8"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8786"/>
      </w:tblGrid>
      <w:tr>
        <w:tblPrEx>
          <w:tblBorders>
            <w:top w:val="single" w:color="auto" w:sz="8" w:space="0"/>
            <w:left w:val="none" w:color="auto" w:sz="0" w:space="0"/>
            <w:bottom w:val="single" w:color="auto" w:sz="8"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646" w:hRule="atLeast"/>
          <w:jc w:val="center"/>
        </w:trPr>
        <w:tc>
          <w:tcPr>
            <w:tcW w:w="8786" w:type="dxa"/>
            <w:tcBorders>
              <w:tl2br w:val="nil"/>
              <w:tr2bl w:val="nil"/>
            </w:tcBorders>
            <w:noWrap w:val="0"/>
            <w:vAlign w:val="top"/>
          </w:tcPr>
          <w:p>
            <w:pPr>
              <w:rPr>
                <w:rFonts w:hint="eastAsia" w:ascii="仿宋_GB2312" w:eastAsia="仿宋_GB2312"/>
                <w:sz w:val="28"/>
                <w:szCs w:val="28"/>
                <w:lang w:val="en-US" w:eastAsia="zh-CN"/>
              </w:rPr>
            </w:pPr>
            <w:r>
              <w:rPr>
                <w:rFonts w:hint="eastAsia" w:ascii="仿宋_GB2312" w:eastAsia="仿宋_GB2312"/>
                <w:sz w:val="28"/>
                <w:szCs w:val="28"/>
              </w:rPr>
              <w:t>会宁县</w:t>
            </w:r>
            <w:r>
              <w:rPr>
                <w:rFonts w:hint="eastAsia" w:ascii="仿宋_GB2312" w:eastAsia="仿宋_GB2312"/>
                <w:sz w:val="28"/>
                <w:szCs w:val="28"/>
                <w:lang w:eastAsia="zh-CN"/>
              </w:rPr>
              <w:t>农业农村</w:t>
            </w:r>
            <w:r>
              <w:rPr>
                <w:rFonts w:hint="eastAsia" w:ascii="仿宋_GB2312" w:eastAsia="仿宋_GB2312"/>
                <w:sz w:val="28"/>
                <w:szCs w:val="28"/>
              </w:rPr>
              <w:t xml:space="preserve">局       </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201</w:t>
            </w:r>
            <w:r>
              <w:rPr>
                <w:rFonts w:hint="eastAsia" w:ascii="仿宋_GB2312" w:eastAsia="仿宋_GB2312"/>
                <w:sz w:val="28"/>
                <w:szCs w:val="28"/>
                <w:lang w:val="en-US" w:eastAsia="zh-CN"/>
              </w:rPr>
              <w:t>9</w:t>
            </w:r>
            <w:r>
              <w:rPr>
                <w:rFonts w:hint="eastAsia" w:ascii="仿宋_GB2312" w:eastAsia="仿宋_GB2312"/>
                <w:sz w:val="28"/>
                <w:szCs w:val="28"/>
              </w:rPr>
              <w:t>年</w:t>
            </w:r>
            <w:r>
              <w:rPr>
                <w:rFonts w:hint="eastAsia" w:ascii="仿宋_GB2312" w:eastAsia="仿宋_GB2312"/>
                <w:sz w:val="28"/>
                <w:szCs w:val="28"/>
                <w:lang w:val="en-US" w:eastAsia="zh-CN"/>
              </w:rPr>
              <w:t>4</w:t>
            </w:r>
            <w:r>
              <w:rPr>
                <w:rFonts w:hint="eastAsia" w:ascii="仿宋_GB2312" w:eastAsia="仿宋_GB2312"/>
                <w:sz w:val="28"/>
                <w:szCs w:val="28"/>
              </w:rPr>
              <w:t>月</w:t>
            </w:r>
            <w:r>
              <w:rPr>
                <w:rFonts w:hint="eastAsia" w:ascii="仿宋_GB2312" w:eastAsia="仿宋_GB2312"/>
                <w:sz w:val="28"/>
                <w:szCs w:val="28"/>
                <w:lang w:val="en-US" w:eastAsia="zh-CN"/>
              </w:rPr>
              <w:t>8</w:t>
            </w:r>
            <w:r>
              <w:rPr>
                <w:rFonts w:hint="eastAsia" w:ascii="仿宋_GB2312" w:eastAsia="仿宋_GB2312"/>
                <w:sz w:val="28"/>
                <w:szCs w:val="28"/>
              </w:rPr>
              <w:t>日印发</w:t>
            </w:r>
          </w:p>
        </w:tc>
      </w:tr>
    </w:tbl>
    <w:p>
      <w:pPr>
        <w:pStyle w:val="2"/>
      </w:pPr>
    </w:p>
    <w:p>
      <w:pPr>
        <w:pStyle w:val="2"/>
      </w:pPr>
    </w:p>
    <w:p>
      <w:pPr>
        <w:pStyle w:val="2"/>
      </w:pPr>
    </w:p>
    <w:p>
      <w:pPr>
        <w:pStyle w:val="2"/>
      </w:pPr>
    </w:p>
    <w:p>
      <w:pPr>
        <w:pStyle w:val="2"/>
        <w:sectPr>
          <w:footerReference r:id="rId3" w:type="default"/>
          <w:pgSz w:w="11849" w:h="16781"/>
          <w:pgMar w:top="2098" w:right="1474" w:bottom="1984" w:left="1587" w:header="851" w:footer="992" w:gutter="0"/>
          <w:pgNumType w:fmt="numberInDash"/>
          <w:cols w:space="0" w:num="1"/>
          <w:rtlGutter w:val="0"/>
          <w:docGrid w:type="lines" w:linePitch="312" w:charSpace="0"/>
        </w:sectPr>
      </w:pPr>
    </w:p>
    <w:p>
      <w:pPr>
        <w:spacing w:before="69"/>
        <w:ind w:left="170" w:right="0" w:firstLine="0"/>
        <w:jc w:val="left"/>
        <w:rPr>
          <w:rFonts w:hint="eastAsia" w:ascii="黑体" w:eastAsia="黑体"/>
          <w:sz w:val="30"/>
        </w:rPr>
      </w:pPr>
      <w:r>
        <w:rPr>
          <w:rFonts w:hint="eastAsia" w:ascii="黑体" w:eastAsia="黑体"/>
          <w:sz w:val="30"/>
        </w:rPr>
        <w:t>附件1</w:t>
      </w:r>
    </w:p>
    <w:tbl>
      <w:tblPr>
        <w:tblStyle w:val="7"/>
        <w:tblpPr w:leftFromText="180" w:rightFromText="180" w:vertAnchor="text" w:horzAnchor="page" w:tblpX="2152" w:tblpY="805"/>
        <w:tblOverlap w:val="never"/>
        <w:tblW w:w="1250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07"/>
        <w:gridCol w:w="496"/>
        <w:gridCol w:w="393"/>
        <w:gridCol w:w="2792"/>
        <w:gridCol w:w="854"/>
        <w:gridCol w:w="923"/>
        <w:gridCol w:w="727"/>
        <w:gridCol w:w="888"/>
        <w:gridCol w:w="889"/>
        <w:gridCol w:w="1038"/>
        <w:gridCol w:w="1154"/>
        <w:gridCol w:w="819"/>
        <w:gridCol w:w="102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Merge w:val="restart"/>
            <w:vAlign w:val="center"/>
          </w:tcPr>
          <w:p>
            <w:pPr>
              <w:pStyle w:val="11"/>
              <w:spacing w:before="7"/>
              <w:jc w:val="center"/>
              <w:rPr>
                <w:rFonts w:ascii="宋体"/>
                <w:sz w:val="13"/>
              </w:rPr>
            </w:pPr>
          </w:p>
          <w:p>
            <w:pPr>
              <w:pStyle w:val="11"/>
              <w:spacing w:before="0"/>
              <w:ind w:left="179"/>
              <w:jc w:val="center"/>
              <w:rPr>
                <w:rFonts w:hint="eastAsia" w:ascii="宋体" w:eastAsia="宋体"/>
                <w:b/>
                <w:sz w:val="18"/>
              </w:rPr>
            </w:pPr>
            <w:r>
              <w:rPr>
                <w:rFonts w:hint="eastAsia" w:ascii="宋体" w:eastAsia="宋体"/>
                <w:b/>
                <w:w w:val="105"/>
                <w:sz w:val="18"/>
              </w:rPr>
              <w:t>序号</w:t>
            </w:r>
          </w:p>
        </w:tc>
        <w:tc>
          <w:tcPr>
            <w:tcW w:w="3681" w:type="dxa"/>
            <w:gridSpan w:val="3"/>
            <w:vMerge w:val="restart"/>
            <w:vAlign w:val="center"/>
          </w:tcPr>
          <w:p>
            <w:pPr>
              <w:pStyle w:val="11"/>
              <w:spacing w:before="0"/>
              <w:ind w:right="2060"/>
              <w:jc w:val="center"/>
              <w:rPr>
                <w:rFonts w:hint="eastAsia" w:ascii="宋体" w:eastAsia="宋体"/>
                <w:b/>
                <w:sz w:val="18"/>
                <w:lang w:eastAsia="zh-CN"/>
              </w:rPr>
            </w:pPr>
            <w:r>
              <w:rPr>
                <w:rFonts w:hint="eastAsia" w:ascii="宋体" w:eastAsia="宋体"/>
                <w:b/>
                <w:w w:val="105"/>
                <w:sz w:val="18"/>
              </w:rPr>
              <w:t>品</w:t>
            </w:r>
            <w:r>
              <w:rPr>
                <w:rFonts w:hint="eastAsia" w:ascii="宋体" w:eastAsia="宋体"/>
                <w:b/>
                <w:w w:val="105"/>
                <w:sz w:val="18"/>
                <w:lang w:eastAsia="zh-CN"/>
              </w:rPr>
              <w:t>种</w:t>
            </w:r>
          </w:p>
        </w:tc>
        <w:tc>
          <w:tcPr>
            <w:tcW w:w="854" w:type="dxa"/>
            <w:vMerge w:val="restart"/>
            <w:vAlign w:val="center"/>
          </w:tcPr>
          <w:p>
            <w:pPr>
              <w:pStyle w:val="11"/>
              <w:spacing w:before="0"/>
              <w:jc w:val="center"/>
              <w:rPr>
                <w:rFonts w:hint="eastAsia" w:ascii="宋体" w:eastAsia="宋体"/>
                <w:b/>
                <w:sz w:val="18"/>
              </w:rPr>
            </w:pPr>
            <w:r>
              <w:rPr>
                <w:rFonts w:hint="eastAsia" w:ascii="宋体" w:eastAsia="宋体"/>
                <w:b/>
                <w:w w:val="105"/>
                <w:sz w:val="18"/>
              </w:rPr>
              <w:t>保险金额</w:t>
            </w:r>
          </w:p>
        </w:tc>
        <w:tc>
          <w:tcPr>
            <w:tcW w:w="923" w:type="dxa"/>
            <w:vMerge w:val="restart"/>
            <w:vAlign w:val="center"/>
          </w:tcPr>
          <w:p>
            <w:pPr>
              <w:pStyle w:val="11"/>
              <w:spacing w:before="0"/>
              <w:jc w:val="center"/>
              <w:rPr>
                <w:rFonts w:hint="eastAsia" w:ascii="宋体" w:eastAsia="宋体"/>
                <w:b/>
                <w:sz w:val="18"/>
              </w:rPr>
            </w:pPr>
            <w:r>
              <w:rPr>
                <w:rFonts w:hint="eastAsia" w:ascii="宋体" w:eastAsia="宋体"/>
                <w:b/>
                <w:w w:val="105"/>
                <w:sz w:val="18"/>
              </w:rPr>
              <w:t>费率</w:t>
            </w:r>
          </w:p>
        </w:tc>
        <w:tc>
          <w:tcPr>
            <w:tcW w:w="727" w:type="dxa"/>
            <w:vMerge w:val="restart"/>
            <w:vAlign w:val="center"/>
          </w:tcPr>
          <w:p>
            <w:pPr>
              <w:pStyle w:val="11"/>
              <w:spacing w:before="0"/>
              <w:jc w:val="center"/>
              <w:rPr>
                <w:rFonts w:hint="eastAsia" w:ascii="宋体" w:eastAsia="宋体"/>
                <w:b/>
                <w:sz w:val="18"/>
              </w:rPr>
            </w:pPr>
            <w:r>
              <w:rPr>
                <w:rFonts w:hint="eastAsia" w:ascii="宋体" w:eastAsia="宋体"/>
                <w:b/>
                <w:w w:val="105"/>
                <w:sz w:val="18"/>
              </w:rPr>
              <w:t>单位保费</w:t>
            </w:r>
          </w:p>
        </w:tc>
        <w:tc>
          <w:tcPr>
            <w:tcW w:w="5815" w:type="dxa"/>
            <w:gridSpan w:val="6"/>
            <w:vAlign w:val="center"/>
          </w:tcPr>
          <w:p>
            <w:pPr>
              <w:pStyle w:val="11"/>
              <w:spacing w:before="83"/>
              <w:jc w:val="center"/>
              <w:rPr>
                <w:rFonts w:hint="eastAsia" w:ascii="宋体" w:eastAsia="宋体"/>
                <w:b/>
                <w:sz w:val="18"/>
              </w:rPr>
            </w:pPr>
            <w:r>
              <w:rPr>
                <w:rFonts w:hint="eastAsia" w:ascii="宋体" w:eastAsia="宋体"/>
                <w:b/>
                <w:w w:val="105"/>
                <w:sz w:val="18"/>
              </w:rPr>
              <w:t>各级保费分摊比例</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Merge w:val="continue"/>
            <w:tcBorders>
              <w:top w:val="nil"/>
            </w:tcBorders>
            <w:vAlign w:val="center"/>
          </w:tcPr>
          <w:p>
            <w:pPr>
              <w:jc w:val="center"/>
              <w:rPr>
                <w:sz w:val="2"/>
                <w:szCs w:val="2"/>
              </w:rPr>
            </w:pPr>
          </w:p>
        </w:tc>
        <w:tc>
          <w:tcPr>
            <w:tcW w:w="3681" w:type="dxa"/>
            <w:gridSpan w:val="3"/>
            <w:vMerge w:val="continue"/>
            <w:tcBorders>
              <w:top w:val="nil"/>
            </w:tcBorders>
            <w:vAlign w:val="center"/>
          </w:tcPr>
          <w:p>
            <w:pPr>
              <w:jc w:val="center"/>
              <w:rPr>
                <w:sz w:val="2"/>
                <w:szCs w:val="2"/>
              </w:rPr>
            </w:pPr>
          </w:p>
        </w:tc>
        <w:tc>
          <w:tcPr>
            <w:tcW w:w="854" w:type="dxa"/>
            <w:vMerge w:val="continue"/>
            <w:tcBorders>
              <w:top w:val="nil"/>
            </w:tcBorders>
            <w:vAlign w:val="center"/>
          </w:tcPr>
          <w:p>
            <w:pPr>
              <w:jc w:val="center"/>
              <w:rPr>
                <w:sz w:val="2"/>
                <w:szCs w:val="2"/>
              </w:rPr>
            </w:pPr>
          </w:p>
        </w:tc>
        <w:tc>
          <w:tcPr>
            <w:tcW w:w="923" w:type="dxa"/>
            <w:vMerge w:val="continue"/>
            <w:tcBorders>
              <w:top w:val="nil"/>
            </w:tcBorders>
            <w:vAlign w:val="center"/>
          </w:tcPr>
          <w:p>
            <w:pPr>
              <w:jc w:val="center"/>
              <w:rPr>
                <w:sz w:val="2"/>
                <w:szCs w:val="2"/>
              </w:rPr>
            </w:pPr>
          </w:p>
        </w:tc>
        <w:tc>
          <w:tcPr>
            <w:tcW w:w="727" w:type="dxa"/>
            <w:vMerge w:val="continue"/>
            <w:tcBorders>
              <w:top w:val="nil"/>
            </w:tcBorders>
            <w:vAlign w:val="center"/>
          </w:tcPr>
          <w:p>
            <w:pPr>
              <w:jc w:val="center"/>
              <w:rPr>
                <w:sz w:val="2"/>
                <w:szCs w:val="2"/>
              </w:rPr>
            </w:pPr>
          </w:p>
        </w:tc>
        <w:tc>
          <w:tcPr>
            <w:tcW w:w="888" w:type="dxa"/>
            <w:vMerge w:val="restart"/>
            <w:vAlign w:val="center"/>
          </w:tcPr>
          <w:p>
            <w:pPr>
              <w:pStyle w:val="11"/>
              <w:spacing w:before="0"/>
              <w:ind w:left="190" w:hanging="190" w:hangingChars="100"/>
              <w:jc w:val="center"/>
              <w:rPr>
                <w:rFonts w:hint="eastAsia" w:ascii="宋体" w:eastAsia="宋体"/>
                <w:b/>
                <w:sz w:val="18"/>
              </w:rPr>
            </w:pPr>
            <w:r>
              <w:rPr>
                <w:rFonts w:hint="eastAsia" w:ascii="宋体" w:eastAsia="宋体"/>
                <w:b/>
                <w:w w:val="105"/>
                <w:sz w:val="18"/>
              </w:rPr>
              <w:t>中央财政补贴</w:t>
            </w:r>
          </w:p>
        </w:tc>
        <w:tc>
          <w:tcPr>
            <w:tcW w:w="889" w:type="dxa"/>
            <w:vMerge w:val="restart"/>
            <w:vAlign w:val="center"/>
          </w:tcPr>
          <w:p>
            <w:pPr>
              <w:pStyle w:val="11"/>
              <w:spacing w:before="0"/>
              <w:ind w:left="190" w:hanging="190" w:hangingChars="100"/>
              <w:jc w:val="center"/>
              <w:rPr>
                <w:rFonts w:hint="eastAsia" w:ascii="宋体" w:eastAsia="宋体"/>
                <w:b/>
                <w:sz w:val="18"/>
              </w:rPr>
            </w:pPr>
            <w:r>
              <w:rPr>
                <w:rFonts w:hint="eastAsia" w:ascii="宋体" w:eastAsia="宋体"/>
                <w:b/>
                <w:w w:val="105"/>
                <w:sz w:val="18"/>
              </w:rPr>
              <w:t>省级财政补贴</w:t>
            </w:r>
          </w:p>
        </w:tc>
        <w:tc>
          <w:tcPr>
            <w:tcW w:w="2192" w:type="dxa"/>
            <w:gridSpan w:val="2"/>
            <w:vAlign w:val="center"/>
          </w:tcPr>
          <w:p>
            <w:pPr>
              <w:pStyle w:val="11"/>
              <w:spacing w:before="40" w:line="222" w:lineRule="exact"/>
              <w:jc w:val="center"/>
              <w:rPr>
                <w:rFonts w:hint="eastAsia" w:ascii="宋体" w:eastAsia="宋体"/>
                <w:b/>
                <w:sz w:val="18"/>
              </w:rPr>
            </w:pPr>
            <w:r>
              <w:rPr>
                <w:rFonts w:hint="eastAsia" w:ascii="宋体" w:eastAsia="宋体"/>
                <w:b/>
                <w:w w:val="105"/>
                <w:sz w:val="18"/>
              </w:rPr>
              <w:t>市县财政补贴</w:t>
            </w:r>
          </w:p>
        </w:tc>
        <w:tc>
          <w:tcPr>
            <w:tcW w:w="1846" w:type="dxa"/>
            <w:gridSpan w:val="2"/>
            <w:vAlign w:val="center"/>
          </w:tcPr>
          <w:p>
            <w:pPr>
              <w:pStyle w:val="11"/>
              <w:spacing w:before="40" w:line="222" w:lineRule="exact"/>
              <w:ind w:left="590"/>
              <w:jc w:val="center"/>
              <w:rPr>
                <w:rFonts w:hint="eastAsia" w:ascii="宋体" w:eastAsia="宋体"/>
                <w:b/>
                <w:sz w:val="18"/>
              </w:rPr>
            </w:pPr>
            <w:r>
              <w:rPr>
                <w:rFonts w:hint="eastAsia" w:ascii="宋体" w:eastAsia="宋体"/>
                <w:b/>
                <w:w w:val="105"/>
                <w:sz w:val="18"/>
              </w:rPr>
              <w:t>农户承担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97" w:hRule="exact"/>
        </w:trPr>
        <w:tc>
          <w:tcPr>
            <w:tcW w:w="507" w:type="dxa"/>
            <w:vMerge w:val="continue"/>
            <w:tcBorders>
              <w:top w:val="nil"/>
            </w:tcBorders>
            <w:vAlign w:val="center"/>
          </w:tcPr>
          <w:p>
            <w:pPr>
              <w:jc w:val="center"/>
              <w:rPr>
                <w:sz w:val="2"/>
                <w:szCs w:val="2"/>
              </w:rPr>
            </w:pPr>
          </w:p>
        </w:tc>
        <w:tc>
          <w:tcPr>
            <w:tcW w:w="3681" w:type="dxa"/>
            <w:gridSpan w:val="3"/>
            <w:vMerge w:val="continue"/>
            <w:tcBorders>
              <w:top w:val="nil"/>
            </w:tcBorders>
            <w:vAlign w:val="center"/>
          </w:tcPr>
          <w:p>
            <w:pPr>
              <w:jc w:val="center"/>
              <w:rPr>
                <w:sz w:val="2"/>
                <w:szCs w:val="2"/>
              </w:rPr>
            </w:pPr>
          </w:p>
        </w:tc>
        <w:tc>
          <w:tcPr>
            <w:tcW w:w="854" w:type="dxa"/>
            <w:vMerge w:val="continue"/>
            <w:tcBorders>
              <w:top w:val="nil"/>
            </w:tcBorders>
            <w:vAlign w:val="center"/>
          </w:tcPr>
          <w:p>
            <w:pPr>
              <w:jc w:val="center"/>
              <w:rPr>
                <w:sz w:val="2"/>
                <w:szCs w:val="2"/>
              </w:rPr>
            </w:pPr>
          </w:p>
        </w:tc>
        <w:tc>
          <w:tcPr>
            <w:tcW w:w="923" w:type="dxa"/>
            <w:vMerge w:val="continue"/>
            <w:tcBorders>
              <w:top w:val="nil"/>
            </w:tcBorders>
            <w:vAlign w:val="center"/>
          </w:tcPr>
          <w:p>
            <w:pPr>
              <w:jc w:val="center"/>
              <w:rPr>
                <w:sz w:val="2"/>
                <w:szCs w:val="2"/>
              </w:rPr>
            </w:pPr>
          </w:p>
        </w:tc>
        <w:tc>
          <w:tcPr>
            <w:tcW w:w="727" w:type="dxa"/>
            <w:vMerge w:val="continue"/>
            <w:tcBorders>
              <w:top w:val="nil"/>
            </w:tcBorders>
            <w:vAlign w:val="center"/>
          </w:tcPr>
          <w:p>
            <w:pPr>
              <w:jc w:val="center"/>
              <w:rPr>
                <w:sz w:val="2"/>
                <w:szCs w:val="2"/>
              </w:rPr>
            </w:pPr>
          </w:p>
        </w:tc>
        <w:tc>
          <w:tcPr>
            <w:tcW w:w="888" w:type="dxa"/>
            <w:vMerge w:val="continue"/>
            <w:tcBorders>
              <w:top w:val="nil"/>
            </w:tcBorders>
            <w:vAlign w:val="center"/>
          </w:tcPr>
          <w:p>
            <w:pPr>
              <w:jc w:val="center"/>
              <w:rPr>
                <w:sz w:val="2"/>
                <w:szCs w:val="2"/>
              </w:rPr>
            </w:pPr>
          </w:p>
        </w:tc>
        <w:tc>
          <w:tcPr>
            <w:tcW w:w="889" w:type="dxa"/>
            <w:vMerge w:val="continue"/>
            <w:tcBorders>
              <w:top w:val="nil"/>
            </w:tcBorders>
            <w:vAlign w:val="center"/>
          </w:tcPr>
          <w:p>
            <w:pPr>
              <w:jc w:val="center"/>
              <w:rPr>
                <w:sz w:val="2"/>
                <w:szCs w:val="2"/>
              </w:rPr>
            </w:pPr>
          </w:p>
        </w:tc>
        <w:tc>
          <w:tcPr>
            <w:tcW w:w="1038" w:type="dxa"/>
            <w:vAlign w:val="center"/>
          </w:tcPr>
          <w:p>
            <w:pPr>
              <w:pStyle w:val="11"/>
              <w:spacing w:before="62"/>
              <w:ind w:left="65" w:right="35"/>
              <w:jc w:val="center"/>
              <w:rPr>
                <w:rFonts w:hint="eastAsia" w:ascii="宋体" w:eastAsia="宋体"/>
                <w:b/>
                <w:sz w:val="18"/>
              </w:rPr>
            </w:pPr>
            <w:r>
              <w:rPr>
                <w:rFonts w:hint="eastAsia" w:ascii="宋体" w:eastAsia="宋体"/>
                <w:b/>
                <w:w w:val="105"/>
                <w:sz w:val="18"/>
              </w:rPr>
              <w:t>对贫困户</w:t>
            </w:r>
          </w:p>
        </w:tc>
        <w:tc>
          <w:tcPr>
            <w:tcW w:w="1154" w:type="dxa"/>
            <w:vAlign w:val="center"/>
          </w:tcPr>
          <w:p>
            <w:pPr>
              <w:pStyle w:val="11"/>
              <w:spacing w:before="62"/>
              <w:ind w:left="68" w:right="39"/>
              <w:jc w:val="center"/>
              <w:rPr>
                <w:rFonts w:hint="eastAsia" w:ascii="宋体" w:eastAsia="宋体"/>
                <w:b/>
                <w:sz w:val="18"/>
              </w:rPr>
            </w:pPr>
            <w:r>
              <w:rPr>
                <w:rFonts w:hint="eastAsia" w:ascii="宋体" w:eastAsia="宋体"/>
                <w:b/>
                <w:w w:val="105"/>
                <w:sz w:val="18"/>
              </w:rPr>
              <w:t>对非贫困户</w:t>
            </w:r>
          </w:p>
        </w:tc>
        <w:tc>
          <w:tcPr>
            <w:tcW w:w="819" w:type="dxa"/>
            <w:vAlign w:val="center"/>
          </w:tcPr>
          <w:p>
            <w:pPr>
              <w:pStyle w:val="11"/>
              <w:spacing w:before="62"/>
              <w:ind w:left="65" w:right="32"/>
              <w:jc w:val="center"/>
              <w:rPr>
                <w:rFonts w:hint="eastAsia" w:ascii="宋体" w:eastAsia="宋体"/>
                <w:b/>
                <w:sz w:val="18"/>
              </w:rPr>
            </w:pPr>
            <w:r>
              <w:rPr>
                <w:rFonts w:hint="eastAsia" w:ascii="宋体" w:eastAsia="宋体"/>
                <w:b/>
                <w:w w:val="105"/>
                <w:sz w:val="18"/>
              </w:rPr>
              <w:t>贫困户</w:t>
            </w:r>
          </w:p>
        </w:tc>
        <w:tc>
          <w:tcPr>
            <w:tcW w:w="1027" w:type="dxa"/>
            <w:vAlign w:val="center"/>
          </w:tcPr>
          <w:p>
            <w:pPr>
              <w:pStyle w:val="11"/>
              <w:spacing w:before="62"/>
              <w:ind w:left="111" w:right="80"/>
              <w:jc w:val="center"/>
              <w:rPr>
                <w:rFonts w:hint="eastAsia" w:ascii="宋体" w:eastAsia="宋体"/>
                <w:b/>
                <w:sz w:val="18"/>
              </w:rPr>
            </w:pPr>
            <w:r>
              <w:rPr>
                <w:rFonts w:hint="eastAsia" w:ascii="宋体" w:eastAsia="宋体"/>
                <w:b/>
                <w:w w:val="105"/>
                <w:sz w:val="18"/>
              </w:rPr>
              <w:t>非贫困户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1"/>
              <w:ind w:right="294"/>
              <w:jc w:val="center"/>
              <w:rPr>
                <w:rFonts w:ascii="宋体"/>
                <w:sz w:val="18"/>
              </w:rPr>
            </w:pPr>
            <w:r>
              <w:rPr>
                <w:rFonts w:ascii="宋体"/>
                <w:w w:val="103"/>
                <w:sz w:val="18"/>
              </w:rPr>
              <w:t>1</w:t>
            </w:r>
          </w:p>
        </w:tc>
        <w:tc>
          <w:tcPr>
            <w:tcW w:w="496" w:type="dxa"/>
            <w:vMerge w:val="restart"/>
            <w:vAlign w:val="center"/>
          </w:tcPr>
          <w:p>
            <w:pPr>
              <w:pStyle w:val="11"/>
              <w:spacing w:before="0"/>
              <w:jc w:val="center"/>
              <w:rPr>
                <w:rFonts w:ascii="宋体"/>
                <w:sz w:val="18"/>
              </w:rPr>
            </w:pPr>
          </w:p>
          <w:p>
            <w:pPr>
              <w:pStyle w:val="11"/>
              <w:spacing w:before="0"/>
              <w:jc w:val="center"/>
              <w:rPr>
                <w:rFonts w:ascii="宋体"/>
                <w:sz w:val="18"/>
              </w:rPr>
            </w:pPr>
          </w:p>
          <w:p>
            <w:pPr>
              <w:pStyle w:val="11"/>
              <w:spacing w:before="0"/>
              <w:jc w:val="center"/>
              <w:rPr>
                <w:rFonts w:ascii="宋体"/>
                <w:sz w:val="18"/>
              </w:rPr>
            </w:pPr>
          </w:p>
          <w:p>
            <w:pPr>
              <w:pStyle w:val="11"/>
              <w:spacing w:before="0"/>
              <w:jc w:val="center"/>
              <w:rPr>
                <w:rFonts w:ascii="宋体"/>
                <w:sz w:val="18"/>
              </w:rPr>
            </w:pPr>
          </w:p>
          <w:p>
            <w:pPr>
              <w:pStyle w:val="11"/>
              <w:spacing w:before="0"/>
              <w:jc w:val="center"/>
              <w:rPr>
                <w:rFonts w:ascii="宋体"/>
                <w:sz w:val="18"/>
              </w:rPr>
            </w:pPr>
          </w:p>
          <w:p>
            <w:pPr>
              <w:pStyle w:val="11"/>
              <w:spacing w:before="0"/>
              <w:jc w:val="center"/>
              <w:rPr>
                <w:rFonts w:ascii="宋体"/>
                <w:sz w:val="18"/>
              </w:rPr>
            </w:pPr>
          </w:p>
          <w:p>
            <w:pPr>
              <w:pStyle w:val="11"/>
              <w:spacing w:before="0"/>
              <w:jc w:val="center"/>
              <w:rPr>
                <w:rFonts w:ascii="宋体"/>
                <w:sz w:val="18"/>
              </w:rPr>
            </w:pPr>
          </w:p>
          <w:p>
            <w:pPr>
              <w:pStyle w:val="11"/>
              <w:spacing w:before="0"/>
              <w:jc w:val="center"/>
              <w:rPr>
                <w:rFonts w:ascii="宋体"/>
                <w:sz w:val="18"/>
              </w:rPr>
            </w:pPr>
          </w:p>
          <w:p>
            <w:pPr>
              <w:pStyle w:val="11"/>
              <w:spacing w:before="158" w:line="242" w:lineRule="auto"/>
              <w:ind w:left="108" w:right="38"/>
              <w:jc w:val="center"/>
              <w:rPr>
                <w:rFonts w:hint="eastAsia" w:ascii="宋体" w:eastAsia="宋体"/>
                <w:sz w:val="18"/>
              </w:rPr>
            </w:pPr>
            <w:r>
              <w:rPr>
                <w:rFonts w:hint="eastAsia" w:ascii="宋体" w:eastAsia="宋体"/>
                <w:w w:val="105"/>
                <w:sz w:val="18"/>
              </w:rPr>
              <w:t>中央补贴品种</w:t>
            </w:r>
          </w:p>
        </w:tc>
        <w:tc>
          <w:tcPr>
            <w:tcW w:w="3185" w:type="dxa"/>
            <w:gridSpan w:val="2"/>
            <w:vAlign w:val="center"/>
          </w:tcPr>
          <w:p>
            <w:pPr>
              <w:pStyle w:val="11"/>
              <w:spacing w:before="61"/>
              <w:jc w:val="center"/>
              <w:rPr>
                <w:rFonts w:hint="eastAsia" w:ascii="宋体" w:eastAsia="宋体"/>
                <w:sz w:val="18"/>
              </w:rPr>
            </w:pPr>
            <w:r>
              <w:rPr>
                <w:rFonts w:hint="eastAsia" w:ascii="宋体" w:eastAsia="宋体"/>
                <w:w w:val="105"/>
                <w:sz w:val="18"/>
              </w:rPr>
              <w:t>马铃薯（成本保险）</w:t>
            </w:r>
          </w:p>
        </w:tc>
        <w:tc>
          <w:tcPr>
            <w:tcW w:w="854" w:type="dxa"/>
            <w:vAlign w:val="center"/>
          </w:tcPr>
          <w:p>
            <w:pPr>
              <w:pStyle w:val="11"/>
              <w:ind w:right="336"/>
              <w:jc w:val="center"/>
              <w:rPr>
                <w:sz w:val="18"/>
              </w:rPr>
            </w:pPr>
            <w:r>
              <w:rPr>
                <w:w w:val="105"/>
                <w:sz w:val="18"/>
              </w:rPr>
              <w:t>700</w:t>
            </w:r>
          </w:p>
        </w:tc>
        <w:tc>
          <w:tcPr>
            <w:tcW w:w="923" w:type="dxa"/>
            <w:vAlign w:val="center"/>
          </w:tcPr>
          <w:p>
            <w:pPr>
              <w:pStyle w:val="11"/>
              <w:ind w:left="213" w:right="178"/>
              <w:jc w:val="center"/>
              <w:rPr>
                <w:sz w:val="18"/>
              </w:rPr>
            </w:pPr>
            <w:r>
              <w:rPr>
                <w:w w:val="105"/>
                <w:sz w:val="18"/>
              </w:rPr>
              <w:t>3.0%</w:t>
            </w:r>
          </w:p>
        </w:tc>
        <w:tc>
          <w:tcPr>
            <w:tcW w:w="727" w:type="dxa"/>
            <w:vAlign w:val="center"/>
          </w:tcPr>
          <w:p>
            <w:pPr>
              <w:pStyle w:val="11"/>
              <w:ind w:left="111" w:right="71"/>
              <w:jc w:val="center"/>
              <w:rPr>
                <w:sz w:val="18"/>
              </w:rPr>
            </w:pPr>
            <w:r>
              <w:rPr>
                <w:w w:val="105"/>
                <w:sz w:val="18"/>
              </w:rPr>
              <w:t>21</w:t>
            </w:r>
          </w:p>
        </w:tc>
        <w:tc>
          <w:tcPr>
            <w:tcW w:w="888" w:type="dxa"/>
            <w:vAlign w:val="center"/>
          </w:tcPr>
          <w:p>
            <w:pPr>
              <w:pStyle w:val="11"/>
              <w:ind w:right="405"/>
              <w:jc w:val="center"/>
              <w:rPr>
                <w:sz w:val="18"/>
              </w:rPr>
            </w:pPr>
            <w:r>
              <w:rPr>
                <w:w w:val="105"/>
                <w:sz w:val="18"/>
              </w:rPr>
              <w:t>40%</w:t>
            </w:r>
          </w:p>
        </w:tc>
        <w:tc>
          <w:tcPr>
            <w:tcW w:w="889" w:type="dxa"/>
            <w:vAlign w:val="center"/>
          </w:tcPr>
          <w:p>
            <w:pPr>
              <w:pStyle w:val="11"/>
              <w:ind w:right="404"/>
              <w:jc w:val="center"/>
              <w:rPr>
                <w:sz w:val="18"/>
              </w:rPr>
            </w:pPr>
            <w:r>
              <w:rPr>
                <w:w w:val="105"/>
                <w:sz w:val="18"/>
              </w:rPr>
              <w:t>25%</w:t>
            </w:r>
          </w:p>
        </w:tc>
        <w:tc>
          <w:tcPr>
            <w:tcW w:w="1038" w:type="dxa"/>
            <w:vAlign w:val="center"/>
          </w:tcPr>
          <w:p>
            <w:pPr>
              <w:pStyle w:val="11"/>
              <w:ind w:left="65" w:right="23"/>
              <w:jc w:val="center"/>
              <w:rPr>
                <w:sz w:val="18"/>
              </w:rPr>
            </w:pPr>
            <w:r>
              <w:rPr>
                <w:w w:val="105"/>
                <w:sz w:val="18"/>
              </w:rPr>
              <w:t>15%</w:t>
            </w:r>
          </w:p>
        </w:tc>
        <w:tc>
          <w:tcPr>
            <w:tcW w:w="1154" w:type="dxa"/>
            <w:vAlign w:val="center"/>
          </w:tcPr>
          <w:p>
            <w:pPr>
              <w:pStyle w:val="11"/>
              <w:ind w:left="68" w:right="26"/>
              <w:jc w:val="center"/>
              <w:rPr>
                <w:sz w:val="18"/>
              </w:rPr>
            </w:pPr>
            <w:r>
              <w:rPr>
                <w:w w:val="105"/>
                <w:sz w:val="18"/>
              </w:rPr>
              <w:t>15%</w:t>
            </w:r>
          </w:p>
        </w:tc>
        <w:tc>
          <w:tcPr>
            <w:tcW w:w="819" w:type="dxa"/>
            <w:vAlign w:val="center"/>
          </w:tcPr>
          <w:p>
            <w:pPr>
              <w:pStyle w:val="11"/>
              <w:ind w:left="65" w:right="23"/>
              <w:jc w:val="center"/>
              <w:rPr>
                <w:sz w:val="18"/>
              </w:rPr>
            </w:pPr>
            <w:r>
              <w:rPr>
                <w:w w:val="105"/>
                <w:sz w:val="18"/>
              </w:rPr>
              <w:t>20%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Merge w:val="restart"/>
            <w:vAlign w:val="center"/>
          </w:tcPr>
          <w:p>
            <w:pPr>
              <w:pStyle w:val="11"/>
              <w:spacing w:before="3"/>
              <w:jc w:val="center"/>
              <w:rPr>
                <w:rFonts w:ascii="宋体"/>
                <w:sz w:val="18"/>
              </w:rPr>
            </w:pPr>
          </w:p>
          <w:p>
            <w:pPr>
              <w:pStyle w:val="11"/>
              <w:spacing w:before="0"/>
              <w:ind w:left="26"/>
              <w:jc w:val="both"/>
              <w:rPr>
                <w:rFonts w:ascii="宋体"/>
                <w:sz w:val="18"/>
              </w:rPr>
            </w:pPr>
            <w:r>
              <w:rPr>
                <w:rFonts w:ascii="宋体"/>
                <w:w w:val="103"/>
                <w:sz w:val="18"/>
              </w:rPr>
              <w:t>2</w:t>
            </w:r>
          </w:p>
        </w:tc>
        <w:tc>
          <w:tcPr>
            <w:tcW w:w="496" w:type="dxa"/>
            <w:vMerge w:val="continue"/>
            <w:tcBorders>
              <w:top w:val="nil"/>
            </w:tcBorders>
            <w:vAlign w:val="center"/>
          </w:tcPr>
          <w:p>
            <w:pPr>
              <w:jc w:val="center"/>
              <w:rPr>
                <w:sz w:val="2"/>
                <w:szCs w:val="2"/>
              </w:rPr>
            </w:pPr>
          </w:p>
        </w:tc>
        <w:tc>
          <w:tcPr>
            <w:tcW w:w="393" w:type="dxa"/>
            <w:vMerge w:val="restart"/>
            <w:vAlign w:val="center"/>
          </w:tcPr>
          <w:p>
            <w:pPr>
              <w:pStyle w:val="11"/>
              <w:spacing w:before="3"/>
              <w:jc w:val="center"/>
              <w:rPr>
                <w:rFonts w:ascii="宋体"/>
                <w:sz w:val="18"/>
              </w:rPr>
            </w:pPr>
          </w:p>
          <w:p>
            <w:pPr>
              <w:pStyle w:val="11"/>
              <w:spacing w:before="0"/>
              <w:ind w:left="192"/>
              <w:jc w:val="center"/>
              <w:rPr>
                <w:rFonts w:hint="eastAsia" w:ascii="宋体" w:eastAsia="宋体"/>
                <w:sz w:val="18"/>
              </w:rPr>
            </w:pPr>
            <w:r>
              <w:rPr>
                <w:rFonts w:hint="eastAsia" w:ascii="宋体" w:eastAsia="宋体"/>
                <w:w w:val="105"/>
                <w:sz w:val="18"/>
              </w:rPr>
              <w:t>玉米</w:t>
            </w:r>
          </w:p>
        </w:tc>
        <w:tc>
          <w:tcPr>
            <w:tcW w:w="2792" w:type="dxa"/>
            <w:vAlign w:val="center"/>
          </w:tcPr>
          <w:p>
            <w:pPr>
              <w:pStyle w:val="11"/>
              <w:spacing w:before="61"/>
              <w:ind w:left="37"/>
              <w:jc w:val="center"/>
              <w:rPr>
                <w:rFonts w:hint="eastAsia" w:ascii="宋体" w:eastAsia="宋体"/>
                <w:sz w:val="18"/>
              </w:rPr>
            </w:pPr>
            <w:r>
              <w:rPr>
                <w:rFonts w:hint="eastAsia" w:ascii="宋体" w:eastAsia="宋体"/>
                <w:w w:val="105"/>
                <w:sz w:val="18"/>
              </w:rPr>
              <w:t>制种玉米（成本保险）</w:t>
            </w:r>
          </w:p>
        </w:tc>
        <w:tc>
          <w:tcPr>
            <w:tcW w:w="854" w:type="dxa"/>
            <w:vAlign w:val="center"/>
          </w:tcPr>
          <w:p>
            <w:pPr>
              <w:pStyle w:val="11"/>
              <w:ind w:right="306"/>
              <w:jc w:val="center"/>
              <w:rPr>
                <w:rFonts w:hint="eastAsia" w:eastAsia="宋体"/>
                <w:sz w:val="18"/>
                <w:lang w:val="en-US" w:eastAsia="zh-CN"/>
              </w:rPr>
            </w:pPr>
            <w:r>
              <w:rPr>
                <w:sz w:val="18"/>
              </w:rPr>
              <w:t>100</w:t>
            </w:r>
            <w:r>
              <w:rPr>
                <w:rFonts w:hint="eastAsia" w:eastAsia="宋体"/>
                <w:sz w:val="18"/>
                <w:lang w:val="en-US" w:eastAsia="zh-CN"/>
              </w:rPr>
              <w:t>0</w:t>
            </w:r>
          </w:p>
        </w:tc>
        <w:tc>
          <w:tcPr>
            <w:tcW w:w="923" w:type="dxa"/>
            <w:vAlign w:val="center"/>
          </w:tcPr>
          <w:p>
            <w:pPr>
              <w:pStyle w:val="11"/>
              <w:ind w:left="213" w:right="178"/>
              <w:jc w:val="center"/>
              <w:rPr>
                <w:sz w:val="18"/>
              </w:rPr>
            </w:pPr>
            <w:r>
              <w:rPr>
                <w:w w:val="105"/>
                <w:sz w:val="18"/>
              </w:rPr>
              <w:t>4.0%</w:t>
            </w:r>
          </w:p>
        </w:tc>
        <w:tc>
          <w:tcPr>
            <w:tcW w:w="727" w:type="dxa"/>
            <w:vAlign w:val="center"/>
          </w:tcPr>
          <w:p>
            <w:pPr>
              <w:pStyle w:val="11"/>
              <w:ind w:left="111" w:right="71"/>
              <w:jc w:val="center"/>
              <w:rPr>
                <w:sz w:val="18"/>
              </w:rPr>
            </w:pPr>
            <w:r>
              <w:rPr>
                <w:w w:val="105"/>
                <w:sz w:val="18"/>
              </w:rPr>
              <w:t>40</w:t>
            </w:r>
          </w:p>
        </w:tc>
        <w:tc>
          <w:tcPr>
            <w:tcW w:w="888" w:type="dxa"/>
            <w:vAlign w:val="center"/>
          </w:tcPr>
          <w:p>
            <w:pPr>
              <w:pStyle w:val="11"/>
              <w:ind w:right="405"/>
              <w:jc w:val="center"/>
              <w:rPr>
                <w:sz w:val="18"/>
              </w:rPr>
            </w:pPr>
            <w:r>
              <w:rPr>
                <w:w w:val="105"/>
                <w:sz w:val="18"/>
              </w:rPr>
              <w:t>40%</w:t>
            </w:r>
          </w:p>
        </w:tc>
        <w:tc>
          <w:tcPr>
            <w:tcW w:w="889" w:type="dxa"/>
            <w:vAlign w:val="center"/>
          </w:tcPr>
          <w:p>
            <w:pPr>
              <w:pStyle w:val="11"/>
              <w:ind w:right="404"/>
              <w:jc w:val="center"/>
              <w:rPr>
                <w:sz w:val="18"/>
              </w:rPr>
            </w:pPr>
            <w:r>
              <w:rPr>
                <w:w w:val="105"/>
                <w:sz w:val="18"/>
              </w:rPr>
              <w:t>30%</w:t>
            </w:r>
          </w:p>
        </w:tc>
        <w:tc>
          <w:tcPr>
            <w:tcW w:w="1038" w:type="dxa"/>
            <w:vAlign w:val="center"/>
          </w:tcPr>
          <w:p>
            <w:pPr>
              <w:pStyle w:val="11"/>
              <w:ind w:left="65" w:right="23"/>
              <w:jc w:val="center"/>
              <w:rPr>
                <w:sz w:val="18"/>
              </w:rPr>
            </w:pPr>
            <w:r>
              <w:rPr>
                <w:w w:val="105"/>
                <w:sz w:val="18"/>
              </w:rPr>
              <w:t>15%</w:t>
            </w:r>
          </w:p>
        </w:tc>
        <w:tc>
          <w:tcPr>
            <w:tcW w:w="1154" w:type="dxa"/>
            <w:vAlign w:val="center"/>
          </w:tcPr>
          <w:p>
            <w:pPr>
              <w:pStyle w:val="11"/>
              <w:ind w:left="68" w:right="26"/>
              <w:jc w:val="center"/>
              <w:rPr>
                <w:sz w:val="18"/>
              </w:rPr>
            </w:pPr>
            <w:r>
              <w:rPr>
                <w:w w:val="105"/>
                <w:sz w:val="18"/>
              </w:rPr>
              <w:t>15%</w:t>
            </w:r>
          </w:p>
        </w:tc>
        <w:tc>
          <w:tcPr>
            <w:tcW w:w="819" w:type="dxa"/>
            <w:vAlign w:val="center"/>
          </w:tcPr>
          <w:p>
            <w:pPr>
              <w:pStyle w:val="11"/>
              <w:ind w:left="65" w:right="23"/>
              <w:jc w:val="center"/>
              <w:rPr>
                <w:sz w:val="18"/>
              </w:rPr>
            </w:pPr>
            <w:r>
              <w:rPr>
                <w:w w:val="105"/>
                <w:sz w:val="18"/>
              </w:rPr>
              <w:t>15%</w:t>
            </w:r>
          </w:p>
        </w:tc>
        <w:tc>
          <w:tcPr>
            <w:tcW w:w="1027" w:type="dxa"/>
            <w:vAlign w:val="center"/>
          </w:tcPr>
          <w:p>
            <w:pPr>
              <w:pStyle w:val="11"/>
              <w:ind w:left="111" w:right="68"/>
              <w:jc w:val="center"/>
              <w:rPr>
                <w:sz w:val="18"/>
              </w:rPr>
            </w:pPr>
            <w:r>
              <w:rPr>
                <w:w w:val="105"/>
                <w:sz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312" w:hRule="exact"/>
        </w:trPr>
        <w:tc>
          <w:tcPr>
            <w:tcW w:w="507" w:type="dxa"/>
            <w:vMerge w:val="continue"/>
            <w:tcBorders>
              <w:top w:val="nil"/>
            </w:tcBorders>
            <w:vAlign w:val="center"/>
          </w:tcPr>
          <w:p>
            <w:pPr>
              <w:jc w:val="center"/>
              <w:rPr>
                <w:sz w:val="2"/>
                <w:szCs w:val="2"/>
              </w:rPr>
            </w:pPr>
          </w:p>
        </w:tc>
        <w:tc>
          <w:tcPr>
            <w:tcW w:w="496" w:type="dxa"/>
            <w:vMerge w:val="continue"/>
            <w:tcBorders>
              <w:top w:val="nil"/>
            </w:tcBorders>
            <w:vAlign w:val="center"/>
          </w:tcPr>
          <w:p>
            <w:pPr>
              <w:jc w:val="center"/>
              <w:rPr>
                <w:sz w:val="2"/>
                <w:szCs w:val="2"/>
              </w:rPr>
            </w:pPr>
          </w:p>
        </w:tc>
        <w:tc>
          <w:tcPr>
            <w:tcW w:w="393" w:type="dxa"/>
            <w:vMerge w:val="continue"/>
            <w:tcBorders>
              <w:top w:val="nil"/>
            </w:tcBorders>
            <w:vAlign w:val="center"/>
          </w:tcPr>
          <w:p>
            <w:pPr>
              <w:jc w:val="center"/>
              <w:rPr>
                <w:sz w:val="2"/>
                <w:szCs w:val="2"/>
              </w:rPr>
            </w:pPr>
          </w:p>
        </w:tc>
        <w:tc>
          <w:tcPr>
            <w:tcW w:w="2792" w:type="dxa"/>
            <w:vAlign w:val="center"/>
          </w:tcPr>
          <w:p>
            <w:pPr>
              <w:pStyle w:val="11"/>
              <w:spacing w:before="62"/>
              <w:ind w:left="37"/>
              <w:jc w:val="center"/>
              <w:rPr>
                <w:rFonts w:hint="eastAsia" w:ascii="宋体" w:eastAsia="宋体"/>
                <w:sz w:val="18"/>
              </w:rPr>
            </w:pPr>
            <w:r>
              <w:rPr>
                <w:rFonts w:hint="eastAsia" w:ascii="宋体" w:eastAsia="宋体"/>
                <w:w w:val="105"/>
                <w:sz w:val="18"/>
              </w:rPr>
              <w:t>大田玉米（成本保险）</w:t>
            </w:r>
          </w:p>
        </w:tc>
        <w:tc>
          <w:tcPr>
            <w:tcW w:w="854" w:type="dxa"/>
            <w:vAlign w:val="center"/>
          </w:tcPr>
          <w:p>
            <w:pPr>
              <w:pStyle w:val="11"/>
              <w:ind w:right="336"/>
              <w:jc w:val="center"/>
              <w:rPr>
                <w:sz w:val="18"/>
              </w:rPr>
            </w:pPr>
            <w:r>
              <w:rPr>
                <w:w w:val="105"/>
                <w:sz w:val="18"/>
              </w:rPr>
              <w:t>600</w:t>
            </w:r>
          </w:p>
        </w:tc>
        <w:tc>
          <w:tcPr>
            <w:tcW w:w="923" w:type="dxa"/>
            <w:vAlign w:val="center"/>
          </w:tcPr>
          <w:p>
            <w:pPr>
              <w:pStyle w:val="11"/>
              <w:ind w:left="213" w:right="178"/>
              <w:jc w:val="center"/>
              <w:rPr>
                <w:sz w:val="18"/>
              </w:rPr>
            </w:pPr>
            <w:r>
              <w:rPr>
                <w:w w:val="105"/>
                <w:sz w:val="18"/>
              </w:rPr>
              <w:t>4.0%</w:t>
            </w:r>
          </w:p>
        </w:tc>
        <w:tc>
          <w:tcPr>
            <w:tcW w:w="727" w:type="dxa"/>
            <w:vAlign w:val="center"/>
          </w:tcPr>
          <w:p>
            <w:pPr>
              <w:pStyle w:val="11"/>
              <w:ind w:left="111" w:right="71"/>
              <w:jc w:val="center"/>
              <w:rPr>
                <w:sz w:val="18"/>
              </w:rPr>
            </w:pPr>
            <w:r>
              <w:rPr>
                <w:w w:val="105"/>
                <w:sz w:val="18"/>
              </w:rPr>
              <w:t>24</w:t>
            </w:r>
          </w:p>
        </w:tc>
        <w:tc>
          <w:tcPr>
            <w:tcW w:w="888" w:type="dxa"/>
            <w:vAlign w:val="center"/>
          </w:tcPr>
          <w:p>
            <w:pPr>
              <w:pStyle w:val="11"/>
              <w:ind w:right="405"/>
              <w:jc w:val="center"/>
              <w:rPr>
                <w:sz w:val="18"/>
              </w:rPr>
            </w:pPr>
            <w:r>
              <w:rPr>
                <w:w w:val="105"/>
                <w:sz w:val="18"/>
              </w:rPr>
              <w:t>40%</w:t>
            </w:r>
          </w:p>
        </w:tc>
        <w:tc>
          <w:tcPr>
            <w:tcW w:w="889" w:type="dxa"/>
            <w:vAlign w:val="center"/>
          </w:tcPr>
          <w:p>
            <w:pPr>
              <w:pStyle w:val="11"/>
              <w:ind w:right="404"/>
              <w:jc w:val="center"/>
              <w:rPr>
                <w:sz w:val="18"/>
              </w:rPr>
            </w:pPr>
            <w:r>
              <w:rPr>
                <w:w w:val="105"/>
                <w:sz w:val="18"/>
              </w:rPr>
              <w:t>30%</w:t>
            </w:r>
          </w:p>
        </w:tc>
        <w:tc>
          <w:tcPr>
            <w:tcW w:w="1038" w:type="dxa"/>
            <w:vAlign w:val="center"/>
          </w:tcPr>
          <w:p>
            <w:pPr>
              <w:pStyle w:val="11"/>
              <w:ind w:left="65" w:right="23"/>
              <w:jc w:val="center"/>
              <w:rPr>
                <w:sz w:val="18"/>
              </w:rPr>
            </w:pPr>
            <w:r>
              <w:rPr>
                <w:w w:val="105"/>
                <w:sz w:val="18"/>
              </w:rPr>
              <w:t>15%</w:t>
            </w:r>
          </w:p>
        </w:tc>
        <w:tc>
          <w:tcPr>
            <w:tcW w:w="1154" w:type="dxa"/>
            <w:vAlign w:val="center"/>
          </w:tcPr>
          <w:p>
            <w:pPr>
              <w:pStyle w:val="11"/>
              <w:ind w:left="68" w:right="26"/>
              <w:jc w:val="center"/>
              <w:rPr>
                <w:sz w:val="18"/>
              </w:rPr>
            </w:pPr>
            <w:r>
              <w:rPr>
                <w:w w:val="105"/>
                <w:sz w:val="18"/>
              </w:rPr>
              <w:t>15%</w:t>
            </w:r>
          </w:p>
        </w:tc>
        <w:tc>
          <w:tcPr>
            <w:tcW w:w="819" w:type="dxa"/>
            <w:vAlign w:val="center"/>
          </w:tcPr>
          <w:p>
            <w:pPr>
              <w:pStyle w:val="11"/>
              <w:ind w:left="65" w:right="23"/>
              <w:jc w:val="center"/>
              <w:rPr>
                <w:sz w:val="18"/>
              </w:rPr>
            </w:pPr>
            <w:r>
              <w:rPr>
                <w:w w:val="105"/>
                <w:sz w:val="18"/>
              </w:rPr>
              <w:t>15%</w:t>
            </w:r>
          </w:p>
        </w:tc>
        <w:tc>
          <w:tcPr>
            <w:tcW w:w="1027" w:type="dxa"/>
            <w:vAlign w:val="center"/>
          </w:tcPr>
          <w:p>
            <w:pPr>
              <w:pStyle w:val="11"/>
              <w:ind w:left="111" w:right="68"/>
              <w:jc w:val="center"/>
              <w:rPr>
                <w:sz w:val="18"/>
              </w:rPr>
            </w:pPr>
            <w:r>
              <w:rPr>
                <w:w w:val="105"/>
                <w:sz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2"/>
              <w:ind w:right="294"/>
              <w:jc w:val="center"/>
              <w:rPr>
                <w:rFonts w:ascii="宋体"/>
                <w:sz w:val="18"/>
              </w:rPr>
            </w:pPr>
            <w:r>
              <w:rPr>
                <w:rFonts w:ascii="宋体"/>
                <w:w w:val="103"/>
                <w:sz w:val="18"/>
              </w:rPr>
              <w:t>3</w:t>
            </w:r>
          </w:p>
        </w:tc>
        <w:tc>
          <w:tcPr>
            <w:tcW w:w="496" w:type="dxa"/>
            <w:vMerge w:val="continue"/>
            <w:tcBorders>
              <w:top w:val="nil"/>
            </w:tcBorders>
            <w:vAlign w:val="center"/>
          </w:tcPr>
          <w:p>
            <w:pPr>
              <w:jc w:val="center"/>
              <w:rPr>
                <w:sz w:val="2"/>
                <w:szCs w:val="2"/>
              </w:rPr>
            </w:pPr>
          </w:p>
        </w:tc>
        <w:tc>
          <w:tcPr>
            <w:tcW w:w="3185" w:type="dxa"/>
            <w:gridSpan w:val="2"/>
            <w:vAlign w:val="center"/>
          </w:tcPr>
          <w:p>
            <w:pPr>
              <w:pStyle w:val="11"/>
              <w:spacing w:before="62"/>
              <w:jc w:val="center"/>
              <w:rPr>
                <w:rFonts w:hint="eastAsia" w:ascii="宋体" w:eastAsia="宋体"/>
                <w:sz w:val="18"/>
              </w:rPr>
            </w:pPr>
            <w:r>
              <w:rPr>
                <w:rFonts w:hint="eastAsia" w:ascii="宋体" w:eastAsia="宋体"/>
                <w:w w:val="105"/>
                <w:sz w:val="18"/>
              </w:rPr>
              <w:t>青稞（成本保险）</w:t>
            </w:r>
          </w:p>
        </w:tc>
        <w:tc>
          <w:tcPr>
            <w:tcW w:w="854" w:type="dxa"/>
            <w:vAlign w:val="center"/>
          </w:tcPr>
          <w:p>
            <w:pPr>
              <w:pStyle w:val="11"/>
              <w:ind w:right="336"/>
              <w:jc w:val="center"/>
              <w:rPr>
                <w:sz w:val="18"/>
              </w:rPr>
            </w:pPr>
            <w:r>
              <w:rPr>
                <w:w w:val="105"/>
                <w:sz w:val="18"/>
              </w:rPr>
              <w:t>400</w:t>
            </w:r>
          </w:p>
        </w:tc>
        <w:tc>
          <w:tcPr>
            <w:tcW w:w="923" w:type="dxa"/>
            <w:vAlign w:val="center"/>
          </w:tcPr>
          <w:p>
            <w:pPr>
              <w:pStyle w:val="11"/>
              <w:ind w:left="213" w:right="178"/>
              <w:jc w:val="center"/>
              <w:rPr>
                <w:sz w:val="18"/>
              </w:rPr>
            </w:pPr>
            <w:r>
              <w:rPr>
                <w:w w:val="105"/>
                <w:sz w:val="18"/>
              </w:rPr>
              <w:t>3.5%</w:t>
            </w:r>
          </w:p>
        </w:tc>
        <w:tc>
          <w:tcPr>
            <w:tcW w:w="727" w:type="dxa"/>
            <w:vAlign w:val="center"/>
          </w:tcPr>
          <w:p>
            <w:pPr>
              <w:pStyle w:val="11"/>
              <w:ind w:left="111" w:right="71"/>
              <w:jc w:val="center"/>
              <w:rPr>
                <w:sz w:val="18"/>
              </w:rPr>
            </w:pPr>
            <w:r>
              <w:rPr>
                <w:w w:val="105"/>
                <w:sz w:val="18"/>
              </w:rPr>
              <w:t>14</w:t>
            </w:r>
          </w:p>
        </w:tc>
        <w:tc>
          <w:tcPr>
            <w:tcW w:w="888" w:type="dxa"/>
            <w:vAlign w:val="center"/>
          </w:tcPr>
          <w:p>
            <w:pPr>
              <w:pStyle w:val="11"/>
              <w:ind w:right="405"/>
              <w:jc w:val="center"/>
              <w:rPr>
                <w:sz w:val="18"/>
              </w:rPr>
            </w:pPr>
            <w:r>
              <w:rPr>
                <w:w w:val="105"/>
                <w:sz w:val="18"/>
              </w:rPr>
              <w:t>40%</w:t>
            </w:r>
          </w:p>
        </w:tc>
        <w:tc>
          <w:tcPr>
            <w:tcW w:w="889" w:type="dxa"/>
            <w:vAlign w:val="center"/>
          </w:tcPr>
          <w:p>
            <w:pPr>
              <w:pStyle w:val="11"/>
              <w:ind w:right="404"/>
              <w:jc w:val="center"/>
              <w:rPr>
                <w:sz w:val="18"/>
              </w:rPr>
            </w:pPr>
            <w:r>
              <w:rPr>
                <w:w w:val="105"/>
                <w:sz w:val="18"/>
              </w:rPr>
              <w:t>30%</w:t>
            </w:r>
          </w:p>
        </w:tc>
        <w:tc>
          <w:tcPr>
            <w:tcW w:w="1038" w:type="dxa"/>
            <w:vAlign w:val="center"/>
          </w:tcPr>
          <w:p>
            <w:pPr>
              <w:pStyle w:val="11"/>
              <w:ind w:left="65" w:right="23"/>
              <w:jc w:val="center"/>
              <w:rPr>
                <w:sz w:val="18"/>
              </w:rPr>
            </w:pPr>
            <w:r>
              <w:rPr>
                <w:w w:val="105"/>
                <w:sz w:val="18"/>
              </w:rPr>
              <w:t>20%</w:t>
            </w:r>
          </w:p>
        </w:tc>
        <w:tc>
          <w:tcPr>
            <w:tcW w:w="1154" w:type="dxa"/>
            <w:vAlign w:val="center"/>
          </w:tcPr>
          <w:p>
            <w:pPr>
              <w:pStyle w:val="11"/>
              <w:ind w:left="68" w:right="26"/>
              <w:jc w:val="center"/>
              <w:rPr>
                <w:sz w:val="18"/>
              </w:rPr>
            </w:pPr>
            <w:r>
              <w:rPr>
                <w:w w:val="105"/>
                <w:sz w:val="18"/>
              </w:rPr>
              <w:t>20%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1"/>
              <w:ind w:right="294"/>
              <w:jc w:val="center"/>
              <w:rPr>
                <w:rFonts w:ascii="宋体"/>
                <w:sz w:val="18"/>
              </w:rPr>
            </w:pPr>
            <w:r>
              <w:rPr>
                <w:rFonts w:ascii="宋体"/>
                <w:w w:val="103"/>
                <w:sz w:val="18"/>
              </w:rPr>
              <w:t>4</w:t>
            </w:r>
          </w:p>
        </w:tc>
        <w:tc>
          <w:tcPr>
            <w:tcW w:w="496" w:type="dxa"/>
            <w:vMerge w:val="continue"/>
            <w:tcBorders>
              <w:top w:val="nil"/>
            </w:tcBorders>
            <w:vAlign w:val="center"/>
          </w:tcPr>
          <w:p>
            <w:pPr>
              <w:jc w:val="center"/>
              <w:rPr>
                <w:sz w:val="2"/>
                <w:szCs w:val="2"/>
              </w:rPr>
            </w:pPr>
          </w:p>
        </w:tc>
        <w:tc>
          <w:tcPr>
            <w:tcW w:w="3185" w:type="dxa"/>
            <w:gridSpan w:val="2"/>
            <w:vAlign w:val="center"/>
          </w:tcPr>
          <w:p>
            <w:pPr>
              <w:pStyle w:val="11"/>
              <w:spacing w:before="61"/>
              <w:jc w:val="center"/>
              <w:rPr>
                <w:rFonts w:hint="eastAsia" w:ascii="宋体" w:eastAsia="宋体"/>
                <w:sz w:val="18"/>
              </w:rPr>
            </w:pPr>
            <w:r>
              <w:rPr>
                <w:rFonts w:hint="eastAsia" w:ascii="宋体" w:eastAsia="宋体"/>
                <w:w w:val="105"/>
                <w:sz w:val="18"/>
              </w:rPr>
              <w:t>棉花（成本保险）</w:t>
            </w:r>
          </w:p>
        </w:tc>
        <w:tc>
          <w:tcPr>
            <w:tcW w:w="854" w:type="dxa"/>
            <w:vAlign w:val="center"/>
          </w:tcPr>
          <w:p>
            <w:pPr>
              <w:pStyle w:val="11"/>
              <w:ind w:right="336"/>
              <w:jc w:val="center"/>
              <w:rPr>
                <w:sz w:val="18"/>
              </w:rPr>
            </w:pPr>
            <w:r>
              <w:rPr>
                <w:w w:val="105"/>
                <w:sz w:val="18"/>
              </w:rPr>
              <w:t>600</w:t>
            </w:r>
          </w:p>
        </w:tc>
        <w:tc>
          <w:tcPr>
            <w:tcW w:w="923" w:type="dxa"/>
            <w:vAlign w:val="center"/>
          </w:tcPr>
          <w:p>
            <w:pPr>
              <w:pStyle w:val="11"/>
              <w:ind w:left="213" w:right="178"/>
              <w:jc w:val="center"/>
              <w:rPr>
                <w:sz w:val="18"/>
              </w:rPr>
            </w:pPr>
            <w:r>
              <w:rPr>
                <w:w w:val="105"/>
                <w:sz w:val="18"/>
              </w:rPr>
              <w:t>3.5%</w:t>
            </w:r>
          </w:p>
        </w:tc>
        <w:tc>
          <w:tcPr>
            <w:tcW w:w="727" w:type="dxa"/>
            <w:vAlign w:val="center"/>
          </w:tcPr>
          <w:p>
            <w:pPr>
              <w:pStyle w:val="11"/>
              <w:ind w:left="111" w:right="71"/>
              <w:jc w:val="center"/>
              <w:rPr>
                <w:sz w:val="18"/>
              </w:rPr>
            </w:pPr>
            <w:r>
              <w:rPr>
                <w:w w:val="105"/>
                <w:sz w:val="18"/>
              </w:rPr>
              <w:t>21</w:t>
            </w:r>
          </w:p>
        </w:tc>
        <w:tc>
          <w:tcPr>
            <w:tcW w:w="888" w:type="dxa"/>
            <w:vAlign w:val="center"/>
          </w:tcPr>
          <w:p>
            <w:pPr>
              <w:pStyle w:val="11"/>
              <w:ind w:right="405"/>
              <w:jc w:val="center"/>
              <w:rPr>
                <w:sz w:val="18"/>
              </w:rPr>
            </w:pPr>
            <w:r>
              <w:rPr>
                <w:w w:val="105"/>
                <w:sz w:val="18"/>
              </w:rPr>
              <w:t>40%</w:t>
            </w:r>
          </w:p>
        </w:tc>
        <w:tc>
          <w:tcPr>
            <w:tcW w:w="889" w:type="dxa"/>
            <w:vAlign w:val="center"/>
          </w:tcPr>
          <w:p>
            <w:pPr>
              <w:pStyle w:val="11"/>
              <w:ind w:right="404"/>
              <w:jc w:val="center"/>
              <w:rPr>
                <w:sz w:val="18"/>
              </w:rPr>
            </w:pPr>
            <w:r>
              <w:rPr>
                <w:w w:val="105"/>
                <w:sz w:val="18"/>
              </w:rPr>
              <w:t>30%</w:t>
            </w:r>
          </w:p>
        </w:tc>
        <w:tc>
          <w:tcPr>
            <w:tcW w:w="1038" w:type="dxa"/>
            <w:vAlign w:val="center"/>
          </w:tcPr>
          <w:p>
            <w:pPr>
              <w:pStyle w:val="11"/>
              <w:ind w:left="65" w:right="23"/>
              <w:jc w:val="center"/>
              <w:rPr>
                <w:sz w:val="18"/>
              </w:rPr>
            </w:pPr>
            <w:r>
              <w:rPr>
                <w:w w:val="105"/>
                <w:sz w:val="18"/>
              </w:rPr>
              <w:t>15%</w:t>
            </w:r>
          </w:p>
        </w:tc>
        <w:tc>
          <w:tcPr>
            <w:tcW w:w="1154" w:type="dxa"/>
            <w:vAlign w:val="center"/>
          </w:tcPr>
          <w:p>
            <w:pPr>
              <w:pStyle w:val="11"/>
              <w:ind w:left="68" w:right="26"/>
              <w:jc w:val="center"/>
              <w:rPr>
                <w:sz w:val="18"/>
              </w:rPr>
            </w:pPr>
            <w:r>
              <w:rPr>
                <w:w w:val="105"/>
                <w:sz w:val="18"/>
              </w:rPr>
              <w:t>15%</w:t>
            </w:r>
          </w:p>
        </w:tc>
        <w:tc>
          <w:tcPr>
            <w:tcW w:w="819" w:type="dxa"/>
            <w:vAlign w:val="center"/>
          </w:tcPr>
          <w:p>
            <w:pPr>
              <w:pStyle w:val="11"/>
              <w:ind w:left="65" w:right="23"/>
              <w:jc w:val="center"/>
              <w:rPr>
                <w:sz w:val="18"/>
              </w:rPr>
            </w:pPr>
            <w:r>
              <w:rPr>
                <w:w w:val="105"/>
                <w:sz w:val="18"/>
              </w:rPr>
              <w:t>15%</w:t>
            </w:r>
          </w:p>
        </w:tc>
        <w:tc>
          <w:tcPr>
            <w:tcW w:w="1027" w:type="dxa"/>
            <w:vAlign w:val="center"/>
          </w:tcPr>
          <w:p>
            <w:pPr>
              <w:pStyle w:val="11"/>
              <w:ind w:left="111" w:right="68"/>
              <w:jc w:val="center"/>
              <w:rPr>
                <w:sz w:val="18"/>
              </w:rPr>
            </w:pPr>
            <w:r>
              <w:rPr>
                <w:w w:val="105"/>
                <w:sz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1"/>
              <w:ind w:right="294"/>
              <w:jc w:val="center"/>
              <w:rPr>
                <w:rFonts w:ascii="宋体"/>
                <w:sz w:val="18"/>
              </w:rPr>
            </w:pPr>
            <w:r>
              <w:rPr>
                <w:rFonts w:ascii="宋体"/>
                <w:w w:val="103"/>
                <w:sz w:val="18"/>
              </w:rPr>
              <w:t>5</w:t>
            </w:r>
          </w:p>
        </w:tc>
        <w:tc>
          <w:tcPr>
            <w:tcW w:w="496" w:type="dxa"/>
            <w:vMerge w:val="continue"/>
            <w:tcBorders>
              <w:top w:val="nil"/>
            </w:tcBorders>
            <w:vAlign w:val="center"/>
          </w:tcPr>
          <w:p>
            <w:pPr>
              <w:jc w:val="center"/>
              <w:rPr>
                <w:sz w:val="2"/>
                <w:szCs w:val="2"/>
              </w:rPr>
            </w:pPr>
          </w:p>
        </w:tc>
        <w:tc>
          <w:tcPr>
            <w:tcW w:w="3185" w:type="dxa"/>
            <w:gridSpan w:val="2"/>
            <w:vAlign w:val="center"/>
          </w:tcPr>
          <w:p>
            <w:pPr>
              <w:pStyle w:val="11"/>
              <w:spacing w:before="61"/>
              <w:jc w:val="center"/>
              <w:rPr>
                <w:rFonts w:hint="eastAsia" w:ascii="宋体" w:eastAsia="宋体"/>
                <w:sz w:val="18"/>
              </w:rPr>
            </w:pPr>
            <w:r>
              <w:rPr>
                <w:rFonts w:hint="eastAsia" w:ascii="宋体" w:eastAsia="宋体"/>
                <w:w w:val="105"/>
                <w:sz w:val="18"/>
              </w:rPr>
              <w:t>牦牛（成本保险）</w:t>
            </w:r>
          </w:p>
        </w:tc>
        <w:tc>
          <w:tcPr>
            <w:tcW w:w="854" w:type="dxa"/>
            <w:vAlign w:val="center"/>
          </w:tcPr>
          <w:p>
            <w:pPr>
              <w:pStyle w:val="11"/>
              <w:ind w:right="306"/>
              <w:jc w:val="center"/>
              <w:rPr>
                <w:sz w:val="18"/>
              </w:rPr>
            </w:pPr>
            <w:r>
              <w:rPr>
                <w:sz w:val="18"/>
              </w:rPr>
              <w:t>2000</w:t>
            </w:r>
          </w:p>
        </w:tc>
        <w:tc>
          <w:tcPr>
            <w:tcW w:w="923" w:type="dxa"/>
            <w:vAlign w:val="center"/>
          </w:tcPr>
          <w:p>
            <w:pPr>
              <w:pStyle w:val="11"/>
              <w:ind w:left="213" w:right="178"/>
              <w:jc w:val="center"/>
              <w:rPr>
                <w:sz w:val="18"/>
              </w:rPr>
            </w:pPr>
            <w:r>
              <w:rPr>
                <w:w w:val="105"/>
                <w:sz w:val="18"/>
              </w:rPr>
              <w:t>6.0%</w:t>
            </w:r>
          </w:p>
        </w:tc>
        <w:tc>
          <w:tcPr>
            <w:tcW w:w="727" w:type="dxa"/>
            <w:vAlign w:val="center"/>
          </w:tcPr>
          <w:p>
            <w:pPr>
              <w:pStyle w:val="11"/>
              <w:ind w:left="111" w:right="77"/>
              <w:jc w:val="center"/>
              <w:rPr>
                <w:sz w:val="18"/>
              </w:rPr>
            </w:pPr>
            <w:r>
              <w:rPr>
                <w:w w:val="105"/>
                <w:sz w:val="18"/>
              </w:rPr>
              <w:t>120</w:t>
            </w:r>
          </w:p>
        </w:tc>
        <w:tc>
          <w:tcPr>
            <w:tcW w:w="888" w:type="dxa"/>
            <w:vAlign w:val="center"/>
          </w:tcPr>
          <w:p>
            <w:pPr>
              <w:pStyle w:val="11"/>
              <w:ind w:right="405"/>
              <w:jc w:val="center"/>
              <w:rPr>
                <w:sz w:val="18"/>
              </w:rPr>
            </w:pPr>
            <w:r>
              <w:rPr>
                <w:w w:val="105"/>
                <w:sz w:val="18"/>
              </w:rPr>
              <w:t>40%</w:t>
            </w:r>
          </w:p>
        </w:tc>
        <w:tc>
          <w:tcPr>
            <w:tcW w:w="889" w:type="dxa"/>
            <w:vAlign w:val="center"/>
          </w:tcPr>
          <w:p>
            <w:pPr>
              <w:pStyle w:val="11"/>
              <w:ind w:right="404"/>
              <w:jc w:val="center"/>
              <w:rPr>
                <w:sz w:val="18"/>
              </w:rPr>
            </w:pPr>
            <w:r>
              <w:rPr>
                <w:w w:val="105"/>
                <w:sz w:val="18"/>
              </w:rPr>
              <w:t>30%</w:t>
            </w:r>
          </w:p>
        </w:tc>
        <w:tc>
          <w:tcPr>
            <w:tcW w:w="1038" w:type="dxa"/>
            <w:vAlign w:val="center"/>
          </w:tcPr>
          <w:p>
            <w:pPr>
              <w:pStyle w:val="11"/>
              <w:ind w:left="65" w:right="23"/>
              <w:jc w:val="center"/>
              <w:rPr>
                <w:sz w:val="18"/>
              </w:rPr>
            </w:pPr>
            <w:r>
              <w:rPr>
                <w:w w:val="105"/>
                <w:sz w:val="18"/>
              </w:rPr>
              <w:t>20%</w:t>
            </w:r>
          </w:p>
        </w:tc>
        <w:tc>
          <w:tcPr>
            <w:tcW w:w="1154" w:type="dxa"/>
            <w:vAlign w:val="center"/>
          </w:tcPr>
          <w:p>
            <w:pPr>
              <w:pStyle w:val="11"/>
              <w:ind w:left="68" w:right="26"/>
              <w:jc w:val="center"/>
              <w:rPr>
                <w:sz w:val="18"/>
              </w:rPr>
            </w:pPr>
            <w:r>
              <w:rPr>
                <w:w w:val="105"/>
                <w:sz w:val="18"/>
              </w:rPr>
              <w:t>20%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2"/>
              <w:ind w:right="294"/>
              <w:jc w:val="center"/>
              <w:rPr>
                <w:rFonts w:ascii="宋体"/>
                <w:sz w:val="18"/>
              </w:rPr>
            </w:pPr>
            <w:r>
              <w:rPr>
                <w:rFonts w:ascii="宋体"/>
                <w:w w:val="103"/>
                <w:sz w:val="18"/>
              </w:rPr>
              <w:t>6</w:t>
            </w:r>
          </w:p>
        </w:tc>
        <w:tc>
          <w:tcPr>
            <w:tcW w:w="496" w:type="dxa"/>
            <w:vMerge w:val="continue"/>
            <w:tcBorders>
              <w:top w:val="nil"/>
            </w:tcBorders>
            <w:vAlign w:val="center"/>
          </w:tcPr>
          <w:p>
            <w:pPr>
              <w:jc w:val="center"/>
              <w:rPr>
                <w:sz w:val="2"/>
                <w:szCs w:val="2"/>
              </w:rPr>
            </w:pPr>
          </w:p>
        </w:tc>
        <w:tc>
          <w:tcPr>
            <w:tcW w:w="3185" w:type="dxa"/>
            <w:gridSpan w:val="2"/>
            <w:vAlign w:val="center"/>
          </w:tcPr>
          <w:p>
            <w:pPr>
              <w:pStyle w:val="11"/>
              <w:spacing w:before="62"/>
              <w:jc w:val="center"/>
              <w:rPr>
                <w:rFonts w:hint="eastAsia" w:ascii="宋体" w:eastAsia="宋体"/>
                <w:sz w:val="18"/>
              </w:rPr>
            </w:pPr>
            <w:r>
              <w:rPr>
                <w:rFonts w:hint="eastAsia" w:ascii="宋体" w:eastAsia="宋体"/>
                <w:w w:val="105"/>
                <w:sz w:val="18"/>
              </w:rPr>
              <w:t>藏系羊（成本保险）</w:t>
            </w:r>
          </w:p>
        </w:tc>
        <w:tc>
          <w:tcPr>
            <w:tcW w:w="854" w:type="dxa"/>
            <w:vAlign w:val="center"/>
          </w:tcPr>
          <w:p>
            <w:pPr>
              <w:pStyle w:val="11"/>
              <w:ind w:right="336"/>
              <w:jc w:val="center"/>
              <w:rPr>
                <w:sz w:val="18"/>
              </w:rPr>
            </w:pPr>
            <w:r>
              <w:rPr>
                <w:w w:val="105"/>
                <w:sz w:val="18"/>
              </w:rPr>
              <w:t>400</w:t>
            </w:r>
          </w:p>
        </w:tc>
        <w:tc>
          <w:tcPr>
            <w:tcW w:w="923" w:type="dxa"/>
            <w:vAlign w:val="center"/>
          </w:tcPr>
          <w:p>
            <w:pPr>
              <w:pStyle w:val="11"/>
              <w:ind w:left="213" w:right="178"/>
              <w:jc w:val="center"/>
              <w:rPr>
                <w:sz w:val="18"/>
              </w:rPr>
            </w:pPr>
            <w:r>
              <w:rPr>
                <w:w w:val="105"/>
                <w:sz w:val="18"/>
              </w:rPr>
              <w:t>6.0%</w:t>
            </w:r>
          </w:p>
        </w:tc>
        <w:tc>
          <w:tcPr>
            <w:tcW w:w="727" w:type="dxa"/>
            <w:vAlign w:val="center"/>
          </w:tcPr>
          <w:p>
            <w:pPr>
              <w:pStyle w:val="11"/>
              <w:ind w:left="111" w:right="71"/>
              <w:jc w:val="center"/>
              <w:rPr>
                <w:sz w:val="18"/>
              </w:rPr>
            </w:pPr>
            <w:r>
              <w:rPr>
                <w:w w:val="105"/>
                <w:sz w:val="18"/>
              </w:rPr>
              <w:t>24</w:t>
            </w:r>
          </w:p>
        </w:tc>
        <w:tc>
          <w:tcPr>
            <w:tcW w:w="888" w:type="dxa"/>
            <w:vAlign w:val="center"/>
          </w:tcPr>
          <w:p>
            <w:pPr>
              <w:pStyle w:val="11"/>
              <w:ind w:right="405"/>
              <w:jc w:val="center"/>
              <w:rPr>
                <w:sz w:val="18"/>
              </w:rPr>
            </w:pPr>
            <w:r>
              <w:rPr>
                <w:w w:val="105"/>
                <w:sz w:val="18"/>
              </w:rPr>
              <w:t>40%</w:t>
            </w:r>
          </w:p>
        </w:tc>
        <w:tc>
          <w:tcPr>
            <w:tcW w:w="889" w:type="dxa"/>
            <w:vAlign w:val="center"/>
          </w:tcPr>
          <w:p>
            <w:pPr>
              <w:pStyle w:val="11"/>
              <w:ind w:right="404"/>
              <w:jc w:val="center"/>
              <w:rPr>
                <w:sz w:val="18"/>
              </w:rPr>
            </w:pPr>
            <w:r>
              <w:rPr>
                <w:w w:val="105"/>
                <w:sz w:val="18"/>
              </w:rPr>
              <w:t>30%</w:t>
            </w:r>
          </w:p>
        </w:tc>
        <w:tc>
          <w:tcPr>
            <w:tcW w:w="1038" w:type="dxa"/>
            <w:vAlign w:val="center"/>
          </w:tcPr>
          <w:p>
            <w:pPr>
              <w:pStyle w:val="11"/>
              <w:ind w:left="65" w:right="23"/>
              <w:jc w:val="center"/>
              <w:rPr>
                <w:sz w:val="18"/>
              </w:rPr>
            </w:pPr>
            <w:r>
              <w:rPr>
                <w:w w:val="105"/>
                <w:sz w:val="18"/>
              </w:rPr>
              <w:t>20%</w:t>
            </w:r>
          </w:p>
        </w:tc>
        <w:tc>
          <w:tcPr>
            <w:tcW w:w="1154" w:type="dxa"/>
            <w:vAlign w:val="center"/>
          </w:tcPr>
          <w:p>
            <w:pPr>
              <w:pStyle w:val="11"/>
              <w:ind w:left="68" w:right="26"/>
              <w:jc w:val="center"/>
              <w:rPr>
                <w:sz w:val="18"/>
              </w:rPr>
            </w:pPr>
            <w:r>
              <w:rPr>
                <w:w w:val="105"/>
                <w:sz w:val="18"/>
              </w:rPr>
              <w:t>20%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1"/>
              <w:ind w:right="294"/>
              <w:jc w:val="center"/>
              <w:rPr>
                <w:rFonts w:ascii="宋体"/>
                <w:sz w:val="18"/>
              </w:rPr>
            </w:pPr>
            <w:r>
              <w:rPr>
                <w:rFonts w:ascii="宋体"/>
                <w:w w:val="103"/>
                <w:sz w:val="18"/>
              </w:rPr>
              <w:t>7</w:t>
            </w:r>
          </w:p>
        </w:tc>
        <w:tc>
          <w:tcPr>
            <w:tcW w:w="496" w:type="dxa"/>
            <w:vMerge w:val="continue"/>
            <w:tcBorders>
              <w:top w:val="nil"/>
            </w:tcBorders>
            <w:vAlign w:val="center"/>
          </w:tcPr>
          <w:p>
            <w:pPr>
              <w:jc w:val="center"/>
              <w:rPr>
                <w:sz w:val="2"/>
                <w:szCs w:val="2"/>
              </w:rPr>
            </w:pPr>
          </w:p>
        </w:tc>
        <w:tc>
          <w:tcPr>
            <w:tcW w:w="3185" w:type="dxa"/>
            <w:gridSpan w:val="2"/>
            <w:vAlign w:val="center"/>
          </w:tcPr>
          <w:p>
            <w:pPr>
              <w:pStyle w:val="11"/>
              <w:spacing w:before="61"/>
              <w:jc w:val="center"/>
              <w:rPr>
                <w:rFonts w:hint="eastAsia" w:ascii="宋体" w:eastAsia="宋体"/>
                <w:sz w:val="18"/>
              </w:rPr>
            </w:pPr>
            <w:r>
              <w:rPr>
                <w:rFonts w:hint="eastAsia" w:ascii="宋体" w:eastAsia="宋体"/>
                <w:w w:val="105"/>
                <w:sz w:val="18"/>
              </w:rPr>
              <w:t>能繁母猪（成本保险）</w:t>
            </w:r>
          </w:p>
        </w:tc>
        <w:tc>
          <w:tcPr>
            <w:tcW w:w="854" w:type="dxa"/>
            <w:vAlign w:val="center"/>
          </w:tcPr>
          <w:p>
            <w:pPr>
              <w:pStyle w:val="11"/>
              <w:ind w:right="306"/>
              <w:jc w:val="center"/>
              <w:rPr>
                <w:sz w:val="18"/>
              </w:rPr>
            </w:pPr>
            <w:r>
              <w:rPr>
                <w:sz w:val="18"/>
              </w:rPr>
              <w:t>1000</w:t>
            </w:r>
          </w:p>
        </w:tc>
        <w:tc>
          <w:tcPr>
            <w:tcW w:w="923" w:type="dxa"/>
            <w:vAlign w:val="center"/>
          </w:tcPr>
          <w:p>
            <w:pPr>
              <w:pStyle w:val="11"/>
              <w:ind w:left="213" w:right="178"/>
              <w:jc w:val="center"/>
              <w:rPr>
                <w:sz w:val="18"/>
              </w:rPr>
            </w:pPr>
            <w:r>
              <w:rPr>
                <w:w w:val="105"/>
                <w:sz w:val="18"/>
              </w:rPr>
              <w:t>5.0%</w:t>
            </w:r>
          </w:p>
        </w:tc>
        <w:tc>
          <w:tcPr>
            <w:tcW w:w="727" w:type="dxa"/>
            <w:vAlign w:val="center"/>
          </w:tcPr>
          <w:p>
            <w:pPr>
              <w:pStyle w:val="11"/>
              <w:ind w:left="111" w:right="71"/>
              <w:jc w:val="center"/>
              <w:rPr>
                <w:sz w:val="18"/>
              </w:rPr>
            </w:pPr>
            <w:r>
              <w:rPr>
                <w:w w:val="105"/>
                <w:sz w:val="18"/>
              </w:rPr>
              <w:t>50</w:t>
            </w:r>
          </w:p>
        </w:tc>
        <w:tc>
          <w:tcPr>
            <w:tcW w:w="888" w:type="dxa"/>
            <w:vAlign w:val="center"/>
          </w:tcPr>
          <w:p>
            <w:pPr>
              <w:pStyle w:val="11"/>
              <w:ind w:right="405"/>
              <w:jc w:val="center"/>
              <w:rPr>
                <w:sz w:val="18"/>
              </w:rPr>
            </w:pPr>
            <w:r>
              <w:rPr>
                <w:w w:val="105"/>
                <w:sz w:val="18"/>
              </w:rPr>
              <w:t>50%</w:t>
            </w:r>
          </w:p>
        </w:tc>
        <w:tc>
          <w:tcPr>
            <w:tcW w:w="889" w:type="dxa"/>
            <w:vAlign w:val="center"/>
          </w:tcPr>
          <w:p>
            <w:pPr>
              <w:pStyle w:val="11"/>
              <w:ind w:right="404"/>
              <w:jc w:val="center"/>
              <w:rPr>
                <w:sz w:val="18"/>
              </w:rPr>
            </w:pPr>
            <w:r>
              <w:rPr>
                <w:w w:val="105"/>
                <w:sz w:val="18"/>
              </w:rPr>
              <w:t>20%</w:t>
            </w:r>
          </w:p>
        </w:tc>
        <w:tc>
          <w:tcPr>
            <w:tcW w:w="1038" w:type="dxa"/>
            <w:vAlign w:val="center"/>
          </w:tcPr>
          <w:p>
            <w:pPr>
              <w:pStyle w:val="11"/>
              <w:ind w:left="65" w:right="23"/>
              <w:jc w:val="center"/>
              <w:rPr>
                <w:sz w:val="18"/>
              </w:rPr>
            </w:pPr>
            <w:r>
              <w:rPr>
                <w:w w:val="105"/>
                <w:sz w:val="18"/>
              </w:rPr>
              <w:t>10%</w:t>
            </w:r>
          </w:p>
        </w:tc>
        <w:tc>
          <w:tcPr>
            <w:tcW w:w="1154" w:type="dxa"/>
            <w:vAlign w:val="center"/>
          </w:tcPr>
          <w:p>
            <w:pPr>
              <w:pStyle w:val="11"/>
              <w:ind w:left="68" w:right="26"/>
              <w:jc w:val="center"/>
              <w:rPr>
                <w:sz w:val="18"/>
              </w:rPr>
            </w:pPr>
            <w:r>
              <w:rPr>
                <w:w w:val="105"/>
                <w:sz w:val="18"/>
              </w:rPr>
              <w:t>10%</w:t>
            </w:r>
          </w:p>
        </w:tc>
        <w:tc>
          <w:tcPr>
            <w:tcW w:w="819" w:type="dxa"/>
            <w:vAlign w:val="center"/>
          </w:tcPr>
          <w:p>
            <w:pPr>
              <w:pStyle w:val="11"/>
              <w:ind w:left="65" w:right="23"/>
              <w:jc w:val="center"/>
              <w:rPr>
                <w:sz w:val="18"/>
              </w:rPr>
            </w:pPr>
            <w:r>
              <w:rPr>
                <w:w w:val="105"/>
                <w:sz w:val="18"/>
              </w:rPr>
              <w:t>20%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312" w:hRule="exact"/>
        </w:trPr>
        <w:tc>
          <w:tcPr>
            <w:tcW w:w="507" w:type="dxa"/>
            <w:vMerge w:val="restart"/>
            <w:vAlign w:val="center"/>
          </w:tcPr>
          <w:p>
            <w:pPr>
              <w:pStyle w:val="11"/>
              <w:spacing w:before="3"/>
              <w:jc w:val="center"/>
              <w:rPr>
                <w:rFonts w:ascii="宋体"/>
                <w:sz w:val="18"/>
              </w:rPr>
            </w:pPr>
          </w:p>
          <w:p>
            <w:pPr>
              <w:pStyle w:val="11"/>
              <w:spacing w:before="1"/>
              <w:ind w:left="26"/>
              <w:jc w:val="left"/>
              <w:rPr>
                <w:rFonts w:ascii="宋体"/>
                <w:sz w:val="18"/>
              </w:rPr>
            </w:pPr>
            <w:r>
              <w:rPr>
                <w:rFonts w:ascii="宋体"/>
                <w:w w:val="103"/>
                <w:sz w:val="18"/>
              </w:rPr>
              <w:t>8</w:t>
            </w:r>
          </w:p>
        </w:tc>
        <w:tc>
          <w:tcPr>
            <w:tcW w:w="496" w:type="dxa"/>
            <w:vMerge w:val="continue"/>
            <w:tcBorders>
              <w:top w:val="nil"/>
            </w:tcBorders>
            <w:vAlign w:val="center"/>
          </w:tcPr>
          <w:p>
            <w:pPr>
              <w:jc w:val="center"/>
              <w:rPr>
                <w:sz w:val="2"/>
                <w:szCs w:val="2"/>
              </w:rPr>
            </w:pPr>
          </w:p>
        </w:tc>
        <w:tc>
          <w:tcPr>
            <w:tcW w:w="393" w:type="dxa"/>
            <w:vMerge w:val="restart"/>
            <w:vAlign w:val="center"/>
          </w:tcPr>
          <w:p>
            <w:pPr>
              <w:pStyle w:val="11"/>
              <w:spacing w:before="3"/>
              <w:jc w:val="center"/>
              <w:rPr>
                <w:rFonts w:ascii="宋体"/>
                <w:sz w:val="18"/>
              </w:rPr>
            </w:pPr>
          </w:p>
          <w:p>
            <w:pPr>
              <w:pStyle w:val="11"/>
              <w:spacing w:before="1"/>
              <w:ind w:left="192"/>
              <w:jc w:val="center"/>
              <w:rPr>
                <w:rFonts w:hint="eastAsia" w:ascii="宋体" w:eastAsia="宋体"/>
                <w:sz w:val="18"/>
              </w:rPr>
            </w:pPr>
            <w:r>
              <w:rPr>
                <w:rFonts w:hint="eastAsia" w:ascii="宋体" w:eastAsia="宋体"/>
                <w:w w:val="105"/>
                <w:sz w:val="18"/>
              </w:rPr>
              <w:t>奶牛</w:t>
            </w:r>
          </w:p>
        </w:tc>
        <w:tc>
          <w:tcPr>
            <w:tcW w:w="2792" w:type="dxa"/>
            <w:vAlign w:val="center"/>
          </w:tcPr>
          <w:p>
            <w:pPr>
              <w:pStyle w:val="11"/>
              <w:spacing w:before="61"/>
              <w:ind w:left="37"/>
              <w:jc w:val="center"/>
              <w:rPr>
                <w:rFonts w:hint="eastAsia" w:ascii="宋体" w:eastAsia="宋体"/>
                <w:sz w:val="18"/>
              </w:rPr>
            </w:pPr>
            <w:r>
              <w:rPr>
                <w:rFonts w:hint="eastAsia" w:ascii="宋体" w:eastAsia="宋体"/>
                <w:w w:val="105"/>
                <w:sz w:val="18"/>
              </w:rPr>
              <w:t>荷斯坦（成本保险）</w:t>
            </w:r>
          </w:p>
        </w:tc>
        <w:tc>
          <w:tcPr>
            <w:tcW w:w="854" w:type="dxa"/>
            <w:vAlign w:val="center"/>
          </w:tcPr>
          <w:p>
            <w:pPr>
              <w:pStyle w:val="11"/>
              <w:ind w:right="260"/>
              <w:jc w:val="center"/>
              <w:rPr>
                <w:sz w:val="18"/>
              </w:rPr>
            </w:pPr>
            <w:r>
              <w:rPr>
                <w:sz w:val="18"/>
              </w:rPr>
              <w:t>10000</w:t>
            </w:r>
          </w:p>
        </w:tc>
        <w:tc>
          <w:tcPr>
            <w:tcW w:w="923" w:type="dxa"/>
            <w:vAlign w:val="center"/>
          </w:tcPr>
          <w:p>
            <w:pPr>
              <w:pStyle w:val="11"/>
              <w:ind w:left="213" w:right="178"/>
              <w:jc w:val="center"/>
              <w:rPr>
                <w:sz w:val="18"/>
              </w:rPr>
            </w:pPr>
            <w:r>
              <w:rPr>
                <w:w w:val="105"/>
                <w:sz w:val="18"/>
              </w:rPr>
              <w:t>5.0%</w:t>
            </w:r>
          </w:p>
        </w:tc>
        <w:tc>
          <w:tcPr>
            <w:tcW w:w="727" w:type="dxa"/>
            <w:vAlign w:val="center"/>
          </w:tcPr>
          <w:p>
            <w:pPr>
              <w:pStyle w:val="11"/>
              <w:ind w:left="111" w:right="77"/>
              <w:jc w:val="center"/>
              <w:rPr>
                <w:sz w:val="18"/>
              </w:rPr>
            </w:pPr>
            <w:r>
              <w:rPr>
                <w:w w:val="105"/>
                <w:sz w:val="18"/>
              </w:rPr>
              <w:t>500</w:t>
            </w:r>
          </w:p>
        </w:tc>
        <w:tc>
          <w:tcPr>
            <w:tcW w:w="888" w:type="dxa"/>
            <w:vAlign w:val="center"/>
          </w:tcPr>
          <w:p>
            <w:pPr>
              <w:pStyle w:val="11"/>
              <w:ind w:right="405"/>
              <w:jc w:val="center"/>
              <w:rPr>
                <w:sz w:val="18"/>
              </w:rPr>
            </w:pPr>
            <w:r>
              <w:rPr>
                <w:w w:val="105"/>
                <w:sz w:val="18"/>
              </w:rPr>
              <w:t>50%</w:t>
            </w:r>
          </w:p>
        </w:tc>
        <w:tc>
          <w:tcPr>
            <w:tcW w:w="889" w:type="dxa"/>
            <w:vAlign w:val="center"/>
          </w:tcPr>
          <w:p>
            <w:pPr>
              <w:pStyle w:val="11"/>
              <w:ind w:right="404"/>
              <w:jc w:val="center"/>
              <w:rPr>
                <w:sz w:val="18"/>
              </w:rPr>
            </w:pPr>
            <w:r>
              <w:rPr>
                <w:w w:val="105"/>
                <w:sz w:val="18"/>
              </w:rPr>
              <w:t>30%</w:t>
            </w:r>
          </w:p>
        </w:tc>
        <w:tc>
          <w:tcPr>
            <w:tcW w:w="1038" w:type="dxa"/>
            <w:vAlign w:val="center"/>
          </w:tcPr>
          <w:p>
            <w:pPr>
              <w:pStyle w:val="11"/>
              <w:ind w:left="65" w:right="23"/>
              <w:jc w:val="center"/>
              <w:rPr>
                <w:sz w:val="18"/>
              </w:rPr>
            </w:pPr>
            <w:r>
              <w:rPr>
                <w:w w:val="105"/>
                <w:sz w:val="18"/>
              </w:rPr>
              <w:t>10%</w:t>
            </w:r>
          </w:p>
        </w:tc>
        <w:tc>
          <w:tcPr>
            <w:tcW w:w="1154" w:type="dxa"/>
            <w:vAlign w:val="center"/>
          </w:tcPr>
          <w:p>
            <w:pPr>
              <w:pStyle w:val="11"/>
              <w:ind w:left="68" w:right="26"/>
              <w:jc w:val="center"/>
              <w:rPr>
                <w:sz w:val="18"/>
              </w:rPr>
            </w:pPr>
            <w:r>
              <w:rPr>
                <w:w w:val="105"/>
                <w:sz w:val="18"/>
              </w:rPr>
              <w:t>10%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Merge w:val="continue"/>
            <w:tcBorders>
              <w:top w:val="nil"/>
            </w:tcBorders>
            <w:vAlign w:val="center"/>
          </w:tcPr>
          <w:p>
            <w:pPr>
              <w:jc w:val="center"/>
              <w:rPr>
                <w:sz w:val="2"/>
                <w:szCs w:val="2"/>
              </w:rPr>
            </w:pPr>
          </w:p>
        </w:tc>
        <w:tc>
          <w:tcPr>
            <w:tcW w:w="496" w:type="dxa"/>
            <w:vMerge w:val="continue"/>
            <w:tcBorders>
              <w:top w:val="nil"/>
            </w:tcBorders>
            <w:vAlign w:val="center"/>
          </w:tcPr>
          <w:p>
            <w:pPr>
              <w:jc w:val="center"/>
              <w:rPr>
                <w:sz w:val="2"/>
                <w:szCs w:val="2"/>
              </w:rPr>
            </w:pPr>
          </w:p>
        </w:tc>
        <w:tc>
          <w:tcPr>
            <w:tcW w:w="393" w:type="dxa"/>
            <w:vMerge w:val="continue"/>
            <w:tcBorders>
              <w:top w:val="nil"/>
            </w:tcBorders>
            <w:vAlign w:val="center"/>
          </w:tcPr>
          <w:p>
            <w:pPr>
              <w:jc w:val="center"/>
              <w:rPr>
                <w:sz w:val="2"/>
                <w:szCs w:val="2"/>
              </w:rPr>
            </w:pPr>
          </w:p>
        </w:tc>
        <w:tc>
          <w:tcPr>
            <w:tcW w:w="2792" w:type="dxa"/>
            <w:vAlign w:val="center"/>
          </w:tcPr>
          <w:p>
            <w:pPr>
              <w:pStyle w:val="11"/>
              <w:spacing w:before="61"/>
              <w:ind w:left="37"/>
              <w:jc w:val="center"/>
              <w:rPr>
                <w:rFonts w:hint="eastAsia" w:ascii="宋体" w:eastAsia="宋体"/>
                <w:sz w:val="18"/>
              </w:rPr>
            </w:pPr>
            <w:r>
              <w:rPr>
                <w:rFonts w:hint="eastAsia" w:ascii="宋体" w:eastAsia="宋体"/>
                <w:w w:val="105"/>
                <w:sz w:val="18"/>
              </w:rPr>
              <w:t>西门塔尔及其他（成本保险）</w:t>
            </w:r>
          </w:p>
        </w:tc>
        <w:tc>
          <w:tcPr>
            <w:tcW w:w="854" w:type="dxa"/>
            <w:vAlign w:val="center"/>
          </w:tcPr>
          <w:p>
            <w:pPr>
              <w:pStyle w:val="11"/>
              <w:ind w:right="306"/>
              <w:jc w:val="center"/>
              <w:rPr>
                <w:sz w:val="18"/>
              </w:rPr>
            </w:pPr>
            <w:r>
              <w:rPr>
                <w:sz w:val="18"/>
              </w:rPr>
              <w:t>8000</w:t>
            </w:r>
          </w:p>
        </w:tc>
        <w:tc>
          <w:tcPr>
            <w:tcW w:w="923" w:type="dxa"/>
            <w:vAlign w:val="center"/>
          </w:tcPr>
          <w:p>
            <w:pPr>
              <w:pStyle w:val="11"/>
              <w:ind w:left="213" w:right="178"/>
              <w:jc w:val="center"/>
              <w:rPr>
                <w:sz w:val="18"/>
              </w:rPr>
            </w:pPr>
            <w:r>
              <w:rPr>
                <w:w w:val="105"/>
                <w:sz w:val="18"/>
              </w:rPr>
              <w:t>5.0%</w:t>
            </w:r>
          </w:p>
        </w:tc>
        <w:tc>
          <w:tcPr>
            <w:tcW w:w="727" w:type="dxa"/>
            <w:vAlign w:val="center"/>
          </w:tcPr>
          <w:p>
            <w:pPr>
              <w:pStyle w:val="11"/>
              <w:ind w:left="111" w:right="77"/>
              <w:jc w:val="center"/>
              <w:rPr>
                <w:sz w:val="18"/>
              </w:rPr>
            </w:pPr>
            <w:r>
              <w:rPr>
                <w:w w:val="105"/>
                <w:sz w:val="18"/>
              </w:rPr>
              <w:t>400</w:t>
            </w:r>
          </w:p>
        </w:tc>
        <w:tc>
          <w:tcPr>
            <w:tcW w:w="888" w:type="dxa"/>
            <w:vAlign w:val="center"/>
          </w:tcPr>
          <w:p>
            <w:pPr>
              <w:pStyle w:val="11"/>
              <w:ind w:right="405"/>
              <w:jc w:val="center"/>
              <w:rPr>
                <w:sz w:val="18"/>
              </w:rPr>
            </w:pPr>
            <w:r>
              <w:rPr>
                <w:w w:val="105"/>
                <w:sz w:val="18"/>
              </w:rPr>
              <w:t>50%</w:t>
            </w:r>
          </w:p>
        </w:tc>
        <w:tc>
          <w:tcPr>
            <w:tcW w:w="889" w:type="dxa"/>
            <w:vAlign w:val="center"/>
          </w:tcPr>
          <w:p>
            <w:pPr>
              <w:pStyle w:val="11"/>
              <w:ind w:right="404"/>
              <w:jc w:val="center"/>
              <w:rPr>
                <w:sz w:val="18"/>
              </w:rPr>
            </w:pPr>
            <w:r>
              <w:rPr>
                <w:w w:val="105"/>
                <w:sz w:val="18"/>
              </w:rPr>
              <w:t>30%</w:t>
            </w:r>
          </w:p>
        </w:tc>
        <w:tc>
          <w:tcPr>
            <w:tcW w:w="1038" w:type="dxa"/>
            <w:vAlign w:val="center"/>
          </w:tcPr>
          <w:p>
            <w:pPr>
              <w:pStyle w:val="11"/>
              <w:ind w:left="65" w:right="23"/>
              <w:jc w:val="center"/>
              <w:rPr>
                <w:sz w:val="18"/>
              </w:rPr>
            </w:pPr>
            <w:r>
              <w:rPr>
                <w:w w:val="105"/>
                <w:sz w:val="18"/>
              </w:rPr>
              <w:t>10%</w:t>
            </w:r>
          </w:p>
        </w:tc>
        <w:tc>
          <w:tcPr>
            <w:tcW w:w="1154" w:type="dxa"/>
            <w:vAlign w:val="center"/>
          </w:tcPr>
          <w:p>
            <w:pPr>
              <w:pStyle w:val="11"/>
              <w:ind w:left="68" w:right="26"/>
              <w:jc w:val="center"/>
              <w:rPr>
                <w:sz w:val="18"/>
              </w:rPr>
            </w:pPr>
            <w:r>
              <w:rPr>
                <w:w w:val="105"/>
                <w:sz w:val="18"/>
              </w:rPr>
              <w:t>10%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2"/>
              <w:ind w:right="294"/>
              <w:jc w:val="center"/>
              <w:rPr>
                <w:rFonts w:ascii="宋体"/>
                <w:sz w:val="18"/>
              </w:rPr>
            </w:pPr>
            <w:r>
              <w:rPr>
                <w:rFonts w:ascii="宋体"/>
                <w:w w:val="103"/>
                <w:sz w:val="18"/>
              </w:rPr>
              <w:t>9</w:t>
            </w:r>
          </w:p>
        </w:tc>
        <w:tc>
          <w:tcPr>
            <w:tcW w:w="496" w:type="dxa"/>
            <w:vMerge w:val="continue"/>
            <w:tcBorders>
              <w:top w:val="nil"/>
            </w:tcBorders>
            <w:vAlign w:val="center"/>
          </w:tcPr>
          <w:p>
            <w:pPr>
              <w:jc w:val="center"/>
              <w:rPr>
                <w:sz w:val="2"/>
                <w:szCs w:val="2"/>
              </w:rPr>
            </w:pPr>
          </w:p>
        </w:tc>
        <w:tc>
          <w:tcPr>
            <w:tcW w:w="3185" w:type="dxa"/>
            <w:gridSpan w:val="2"/>
            <w:vAlign w:val="center"/>
          </w:tcPr>
          <w:p>
            <w:pPr>
              <w:pStyle w:val="11"/>
              <w:spacing w:before="62"/>
              <w:jc w:val="center"/>
              <w:rPr>
                <w:rFonts w:hint="eastAsia" w:ascii="宋体" w:eastAsia="宋体"/>
                <w:sz w:val="18"/>
              </w:rPr>
            </w:pPr>
            <w:r>
              <w:rPr>
                <w:rFonts w:hint="eastAsia" w:ascii="宋体" w:eastAsia="宋体"/>
                <w:w w:val="105"/>
                <w:sz w:val="18"/>
              </w:rPr>
              <w:t>冬小麦（成本保险）</w:t>
            </w:r>
          </w:p>
        </w:tc>
        <w:tc>
          <w:tcPr>
            <w:tcW w:w="854" w:type="dxa"/>
            <w:vAlign w:val="center"/>
          </w:tcPr>
          <w:p>
            <w:pPr>
              <w:pStyle w:val="11"/>
              <w:ind w:right="336"/>
              <w:jc w:val="center"/>
              <w:rPr>
                <w:sz w:val="18"/>
              </w:rPr>
            </w:pPr>
            <w:r>
              <w:rPr>
                <w:w w:val="105"/>
                <w:sz w:val="18"/>
              </w:rPr>
              <w:t>300</w:t>
            </w:r>
          </w:p>
        </w:tc>
        <w:tc>
          <w:tcPr>
            <w:tcW w:w="923" w:type="dxa"/>
            <w:vAlign w:val="center"/>
          </w:tcPr>
          <w:p>
            <w:pPr>
              <w:pStyle w:val="11"/>
              <w:ind w:left="213" w:right="178"/>
              <w:jc w:val="center"/>
              <w:rPr>
                <w:sz w:val="18"/>
              </w:rPr>
            </w:pPr>
            <w:r>
              <w:rPr>
                <w:w w:val="105"/>
                <w:sz w:val="18"/>
              </w:rPr>
              <w:t>4.0%</w:t>
            </w:r>
          </w:p>
        </w:tc>
        <w:tc>
          <w:tcPr>
            <w:tcW w:w="727" w:type="dxa"/>
            <w:vAlign w:val="center"/>
          </w:tcPr>
          <w:p>
            <w:pPr>
              <w:pStyle w:val="11"/>
              <w:ind w:left="111" w:right="71"/>
              <w:jc w:val="center"/>
              <w:rPr>
                <w:sz w:val="18"/>
              </w:rPr>
            </w:pPr>
            <w:r>
              <w:rPr>
                <w:w w:val="105"/>
                <w:sz w:val="18"/>
              </w:rPr>
              <w:t>12</w:t>
            </w:r>
          </w:p>
        </w:tc>
        <w:tc>
          <w:tcPr>
            <w:tcW w:w="888" w:type="dxa"/>
            <w:vAlign w:val="center"/>
          </w:tcPr>
          <w:p>
            <w:pPr>
              <w:pStyle w:val="11"/>
              <w:ind w:right="405"/>
              <w:jc w:val="center"/>
              <w:rPr>
                <w:sz w:val="18"/>
              </w:rPr>
            </w:pPr>
            <w:r>
              <w:rPr>
                <w:w w:val="105"/>
                <w:sz w:val="18"/>
              </w:rPr>
              <w:t>40%</w:t>
            </w:r>
          </w:p>
        </w:tc>
        <w:tc>
          <w:tcPr>
            <w:tcW w:w="889" w:type="dxa"/>
            <w:vAlign w:val="center"/>
          </w:tcPr>
          <w:p>
            <w:pPr>
              <w:pStyle w:val="11"/>
              <w:ind w:right="404"/>
              <w:jc w:val="center"/>
              <w:rPr>
                <w:sz w:val="18"/>
              </w:rPr>
            </w:pPr>
            <w:r>
              <w:rPr>
                <w:w w:val="105"/>
                <w:sz w:val="18"/>
              </w:rPr>
              <w:t>30%</w:t>
            </w:r>
          </w:p>
        </w:tc>
        <w:tc>
          <w:tcPr>
            <w:tcW w:w="1038" w:type="dxa"/>
            <w:vAlign w:val="center"/>
          </w:tcPr>
          <w:p>
            <w:pPr>
              <w:pStyle w:val="11"/>
              <w:ind w:left="65" w:right="23"/>
              <w:jc w:val="center"/>
              <w:rPr>
                <w:sz w:val="18"/>
              </w:rPr>
            </w:pPr>
            <w:r>
              <w:rPr>
                <w:w w:val="105"/>
                <w:sz w:val="18"/>
              </w:rPr>
              <w:t>15%</w:t>
            </w:r>
          </w:p>
        </w:tc>
        <w:tc>
          <w:tcPr>
            <w:tcW w:w="1154" w:type="dxa"/>
            <w:vAlign w:val="center"/>
          </w:tcPr>
          <w:p>
            <w:pPr>
              <w:pStyle w:val="11"/>
              <w:ind w:left="68" w:right="26"/>
              <w:jc w:val="center"/>
              <w:rPr>
                <w:sz w:val="18"/>
              </w:rPr>
            </w:pPr>
            <w:r>
              <w:rPr>
                <w:w w:val="105"/>
                <w:sz w:val="18"/>
              </w:rPr>
              <w:t>15%</w:t>
            </w:r>
          </w:p>
        </w:tc>
        <w:tc>
          <w:tcPr>
            <w:tcW w:w="819" w:type="dxa"/>
            <w:vAlign w:val="center"/>
          </w:tcPr>
          <w:p>
            <w:pPr>
              <w:pStyle w:val="11"/>
              <w:ind w:left="65" w:right="23"/>
              <w:jc w:val="center"/>
              <w:rPr>
                <w:sz w:val="18"/>
              </w:rPr>
            </w:pPr>
            <w:r>
              <w:rPr>
                <w:w w:val="105"/>
                <w:sz w:val="18"/>
              </w:rPr>
              <w:t>15%</w:t>
            </w:r>
          </w:p>
        </w:tc>
        <w:tc>
          <w:tcPr>
            <w:tcW w:w="1027" w:type="dxa"/>
            <w:vAlign w:val="center"/>
          </w:tcPr>
          <w:p>
            <w:pPr>
              <w:pStyle w:val="11"/>
              <w:ind w:left="111" w:right="68"/>
              <w:jc w:val="center"/>
              <w:rPr>
                <w:sz w:val="18"/>
              </w:rPr>
            </w:pPr>
            <w:r>
              <w:rPr>
                <w:w w:val="105"/>
                <w:sz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Merge w:val="restart"/>
            <w:vAlign w:val="center"/>
          </w:tcPr>
          <w:p>
            <w:pPr>
              <w:pStyle w:val="11"/>
              <w:spacing w:before="1"/>
              <w:jc w:val="center"/>
              <w:rPr>
                <w:rFonts w:ascii="宋体"/>
                <w:sz w:val="18"/>
              </w:rPr>
            </w:pPr>
          </w:p>
          <w:p>
            <w:pPr>
              <w:pStyle w:val="11"/>
              <w:spacing w:before="0"/>
              <w:ind w:right="227"/>
              <w:jc w:val="center"/>
              <w:rPr>
                <w:rFonts w:ascii="宋体"/>
                <w:sz w:val="18"/>
              </w:rPr>
            </w:pPr>
            <w:r>
              <w:rPr>
                <w:rFonts w:ascii="宋体"/>
                <w:w w:val="105"/>
                <w:sz w:val="18"/>
              </w:rPr>
              <w:t>10</w:t>
            </w:r>
          </w:p>
        </w:tc>
        <w:tc>
          <w:tcPr>
            <w:tcW w:w="496" w:type="dxa"/>
            <w:vMerge w:val="continue"/>
            <w:tcBorders>
              <w:top w:val="nil"/>
            </w:tcBorders>
            <w:vAlign w:val="center"/>
          </w:tcPr>
          <w:p>
            <w:pPr>
              <w:jc w:val="center"/>
              <w:rPr>
                <w:sz w:val="2"/>
                <w:szCs w:val="2"/>
              </w:rPr>
            </w:pPr>
          </w:p>
        </w:tc>
        <w:tc>
          <w:tcPr>
            <w:tcW w:w="393" w:type="dxa"/>
            <w:vMerge w:val="restart"/>
            <w:vAlign w:val="center"/>
          </w:tcPr>
          <w:p>
            <w:pPr>
              <w:pStyle w:val="11"/>
              <w:spacing w:before="1"/>
              <w:jc w:val="center"/>
              <w:rPr>
                <w:rFonts w:ascii="宋体"/>
                <w:sz w:val="18"/>
              </w:rPr>
            </w:pPr>
          </w:p>
          <w:p>
            <w:pPr>
              <w:pStyle w:val="11"/>
              <w:spacing w:before="0"/>
              <w:ind w:left="192"/>
              <w:jc w:val="center"/>
              <w:rPr>
                <w:rFonts w:hint="eastAsia" w:ascii="宋体" w:eastAsia="宋体"/>
                <w:sz w:val="18"/>
              </w:rPr>
            </w:pPr>
            <w:r>
              <w:rPr>
                <w:rFonts w:hint="eastAsia" w:ascii="宋体" w:eastAsia="宋体"/>
                <w:w w:val="105"/>
                <w:sz w:val="18"/>
              </w:rPr>
              <w:t>森林</w:t>
            </w:r>
          </w:p>
        </w:tc>
        <w:tc>
          <w:tcPr>
            <w:tcW w:w="2792" w:type="dxa"/>
            <w:vAlign w:val="center"/>
          </w:tcPr>
          <w:p>
            <w:pPr>
              <w:pStyle w:val="11"/>
              <w:spacing w:before="61"/>
              <w:ind w:left="37"/>
              <w:jc w:val="center"/>
              <w:rPr>
                <w:rFonts w:hint="eastAsia" w:ascii="宋体" w:eastAsia="宋体"/>
                <w:sz w:val="18"/>
              </w:rPr>
            </w:pPr>
            <w:r>
              <w:rPr>
                <w:rFonts w:hint="eastAsia" w:ascii="宋体" w:eastAsia="宋体"/>
                <w:w w:val="105"/>
                <w:sz w:val="18"/>
              </w:rPr>
              <w:t>公益林（成本保险）</w:t>
            </w:r>
          </w:p>
        </w:tc>
        <w:tc>
          <w:tcPr>
            <w:tcW w:w="854" w:type="dxa"/>
            <w:vAlign w:val="center"/>
          </w:tcPr>
          <w:p>
            <w:pPr>
              <w:pStyle w:val="11"/>
              <w:ind w:right="336"/>
              <w:jc w:val="center"/>
              <w:rPr>
                <w:sz w:val="18"/>
              </w:rPr>
            </w:pPr>
            <w:r>
              <w:rPr>
                <w:w w:val="105"/>
                <w:sz w:val="18"/>
              </w:rPr>
              <w:t>500</w:t>
            </w:r>
          </w:p>
        </w:tc>
        <w:tc>
          <w:tcPr>
            <w:tcW w:w="923" w:type="dxa"/>
            <w:vAlign w:val="center"/>
          </w:tcPr>
          <w:p>
            <w:pPr>
              <w:pStyle w:val="11"/>
              <w:ind w:left="213" w:right="178"/>
              <w:jc w:val="center"/>
              <w:rPr>
                <w:sz w:val="18"/>
              </w:rPr>
            </w:pPr>
            <w:r>
              <w:rPr>
                <w:w w:val="105"/>
                <w:sz w:val="18"/>
              </w:rPr>
              <w:t>2.0‰</w:t>
            </w:r>
          </w:p>
        </w:tc>
        <w:tc>
          <w:tcPr>
            <w:tcW w:w="727" w:type="dxa"/>
            <w:vAlign w:val="center"/>
          </w:tcPr>
          <w:p>
            <w:pPr>
              <w:pStyle w:val="11"/>
              <w:ind w:left="36"/>
              <w:jc w:val="center"/>
              <w:rPr>
                <w:sz w:val="18"/>
              </w:rPr>
            </w:pPr>
            <w:r>
              <w:rPr>
                <w:w w:val="103"/>
                <w:sz w:val="18"/>
              </w:rPr>
              <w:t>1</w:t>
            </w:r>
          </w:p>
        </w:tc>
        <w:tc>
          <w:tcPr>
            <w:tcW w:w="888" w:type="dxa"/>
            <w:vAlign w:val="center"/>
          </w:tcPr>
          <w:p>
            <w:pPr>
              <w:pStyle w:val="11"/>
              <w:ind w:right="405"/>
              <w:jc w:val="center"/>
              <w:rPr>
                <w:sz w:val="18"/>
              </w:rPr>
            </w:pPr>
            <w:r>
              <w:rPr>
                <w:w w:val="105"/>
                <w:sz w:val="18"/>
              </w:rPr>
              <w:t>50%</w:t>
            </w:r>
          </w:p>
        </w:tc>
        <w:tc>
          <w:tcPr>
            <w:tcW w:w="889" w:type="dxa"/>
            <w:vAlign w:val="center"/>
          </w:tcPr>
          <w:p>
            <w:pPr>
              <w:pStyle w:val="11"/>
              <w:ind w:right="404"/>
              <w:jc w:val="center"/>
              <w:rPr>
                <w:sz w:val="18"/>
              </w:rPr>
            </w:pPr>
            <w:r>
              <w:rPr>
                <w:w w:val="105"/>
                <w:sz w:val="18"/>
              </w:rPr>
              <w:t>30%</w:t>
            </w:r>
          </w:p>
        </w:tc>
        <w:tc>
          <w:tcPr>
            <w:tcW w:w="1038" w:type="dxa"/>
            <w:vAlign w:val="center"/>
          </w:tcPr>
          <w:p>
            <w:pPr>
              <w:pStyle w:val="11"/>
              <w:ind w:left="65" w:right="23"/>
              <w:jc w:val="center"/>
              <w:rPr>
                <w:sz w:val="18"/>
              </w:rPr>
            </w:pPr>
            <w:r>
              <w:rPr>
                <w:w w:val="105"/>
                <w:sz w:val="18"/>
              </w:rPr>
              <w:t>15%</w:t>
            </w:r>
          </w:p>
        </w:tc>
        <w:tc>
          <w:tcPr>
            <w:tcW w:w="1154" w:type="dxa"/>
            <w:vAlign w:val="center"/>
          </w:tcPr>
          <w:p>
            <w:pPr>
              <w:pStyle w:val="11"/>
              <w:ind w:left="68" w:right="26"/>
              <w:jc w:val="center"/>
              <w:rPr>
                <w:sz w:val="18"/>
              </w:rPr>
            </w:pPr>
            <w:r>
              <w:rPr>
                <w:w w:val="105"/>
                <w:sz w:val="18"/>
              </w:rPr>
              <w:t>15%</w:t>
            </w:r>
          </w:p>
        </w:tc>
        <w:tc>
          <w:tcPr>
            <w:tcW w:w="819" w:type="dxa"/>
            <w:vAlign w:val="center"/>
          </w:tcPr>
          <w:p>
            <w:pPr>
              <w:pStyle w:val="11"/>
              <w:ind w:left="65" w:right="27"/>
              <w:jc w:val="center"/>
              <w:rPr>
                <w:sz w:val="18"/>
              </w:rPr>
            </w:pPr>
            <w:r>
              <w:rPr>
                <w:w w:val="105"/>
                <w:sz w:val="18"/>
              </w:rPr>
              <w:t>5%</w:t>
            </w:r>
          </w:p>
        </w:tc>
        <w:tc>
          <w:tcPr>
            <w:tcW w:w="1027" w:type="dxa"/>
            <w:vAlign w:val="center"/>
          </w:tcPr>
          <w:p>
            <w:pPr>
              <w:pStyle w:val="11"/>
              <w:ind w:left="111" w:right="67"/>
              <w:jc w:val="center"/>
              <w:rPr>
                <w:sz w:val="18"/>
              </w:rPr>
            </w:pPr>
            <w:r>
              <w:rPr>
                <w:w w:val="105"/>
                <w:sz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Merge w:val="continue"/>
            <w:tcBorders>
              <w:top w:val="nil"/>
            </w:tcBorders>
            <w:vAlign w:val="center"/>
          </w:tcPr>
          <w:p>
            <w:pPr>
              <w:jc w:val="center"/>
              <w:rPr>
                <w:sz w:val="2"/>
                <w:szCs w:val="2"/>
              </w:rPr>
            </w:pPr>
          </w:p>
        </w:tc>
        <w:tc>
          <w:tcPr>
            <w:tcW w:w="496" w:type="dxa"/>
            <w:vMerge w:val="continue"/>
            <w:tcBorders>
              <w:top w:val="nil"/>
            </w:tcBorders>
            <w:vAlign w:val="center"/>
          </w:tcPr>
          <w:p>
            <w:pPr>
              <w:jc w:val="center"/>
              <w:rPr>
                <w:sz w:val="2"/>
                <w:szCs w:val="2"/>
              </w:rPr>
            </w:pPr>
          </w:p>
        </w:tc>
        <w:tc>
          <w:tcPr>
            <w:tcW w:w="393" w:type="dxa"/>
            <w:vMerge w:val="continue"/>
            <w:tcBorders>
              <w:top w:val="nil"/>
            </w:tcBorders>
            <w:vAlign w:val="center"/>
          </w:tcPr>
          <w:p>
            <w:pPr>
              <w:jc w:val="center"/>
              <w:rPr>
                <w:sz w:val="2"/>
                <w:szCs w:val="2"/>
              </w:rPr>
            </w:pPr>
          </w:p>
        </w:tc>
        <w:tc>
          <w:tcPr>
            <w:tcW w:w="2792" w:type="dxa"/>
            <w:vAlign w:val="center"/>
          </w:tcPr>
          <w:p>
            <w:pPr>
              <w:pStyle w:val="11"/>
              <w:spacing w:before="61"/>
              <w:ind w:left="37"/>
              <w:jc w:val="center"/>
              <w:rPr>
                <w:rFonts w:hint="eastAsia" w:ascii="宋体" w:eastAsia="宋体"/>
                <w:sz w:val="18"/>
              </w:rPr>
            </w:pPr>
            <w:r>
              <w:rPr>
                <w:rFonts w:hint="eastAsia" w:ascii="宋体" w:eastAsia="宋体"/>
                <w:w w:val="105"/>
                <w:sz w:val="18"/>
              </w:rPr>
              <w:t>商品林（成本保险）</w:t>
            </w:r>
          </w:p>
        </w:tc>
        <w:tc>
          <w:tcPr>
            <w:tcW w:w="854" w:type="dxa"/>
            <w:vAlign w:val="center"/>
          </w:tcPr>
          <w:p>
            <w:pPr>
              <w:pStyle w:val="11"/>
              <w:ind w:right="336"/>
              <w:jc w:val="center"/>
              <w:rPr>
                <w:sz w:val="18"/>
              </w:rPr>
            </w:pPr>
            <w:r>
              <w:rPr>
                <w:w w:val="105"/>
                <w:sz w:val="18"/>
              </w:rPr>
              <w:t>600</w:t>
            </w:r>
          </w:p>
        </w:tc>
        <w:tc>
          <w:tcPr>
            <w:tcW w:w="923" w:type="dxa"/>
            <w:vAlign w:val="center"/>
          </w:tcPr>
          <w:p>
            <w:pPr>
              <w:pStyle w:val="11"/>
              <w:ind w:left="213" w:right="178"/>
              <w:jc w:val="center"/>
              <w:rPr>
                <w:sz w:val="18"/>
              </w:rPr>
            </w:pPr>
            <w:r>
              <w:rPr>
                <w:w w:val="105"/>
                <w:sz w:val="18"/>
              </w:rPr>
              <w:t>2.0‰</w:t>
            </w:r>
          </w:p>
        </w:tc>
        <w:tc>
          <w:tcPr>
            <w:tcW w:w="727" w:type="dxa"/>
            <w:vAlign w:val="center"/>
          </w:tcPr>
          <w:p>
            <w:pPr>
              <w:pStyle w:val="11"/>
              <w:ind w:left="111" w:right="71"/>
              <w:jc w:val="center"/>
              <w:rPr>
                <w:sz w:val="18"/>
              </w:rPr>
            </w:pPr>
            <w:r>
              <w:rPr>
                <w:w w:val="105"/>
                <w:sz w:val="18"/>
              </w:rPr>
              <w:t>1.2</w:t>
            </w:r>
          </w:p>
        </w:tc>
        <w:tc>
          <w:tcPr>
            <w:tcW w:w="888" w:type="dxa"/>
            <w:vAlign w:val="center"/>
          </w:tcPr>
          <w:p>
            <w:pPr>
              <w:pStyle w:val="11"/>
              <w:ind w:right="405"/>
              <w:jc w:val="center"/>
              <w:rPr>
                <w:sz w:val="18"/>
              </w:rPr>
            </w:pPr>
            <w:r>
              <w:rPr>
                <w:w w:val="105"/>
                <w:sz w:val="18"/>
              </w:rPr>
              <w:t>30%</w:t>
            </w:r>
          </w:p>
        </w:tc>
        <w:tc>
          <w:tcPr>
            <w:tcW w:w="889" w:type="dxa"/>
            <w:vAlign w:val="center"/>
          </w:tcPr>
          <w:p>
            <w:pPr>
              <w:pStyle w:val="11"/>
              <w:ind w:right="404"/>
              <w:jc w:val="center"/>
              <w:rPr>
                <w:sz w:val="18"/>
              </w:rPr>
            </w:pPr>
            <w:r>
              <w:rPr>
                <w:w w:val="105"/>
                <w:sz w:val="18"/>
              </w:rPr>
              <w:t>25%</w:t>
            </w:r>
          </w:p>
        </w:tc>
        <w:tc>
          <w:tcPr>
            <w:tcW w:w="1038" w:type="dxa"/>
            <w:vAlign w:val="center"/>
          </w:tcPr>
          <w:p>
            <w:pPr>
              <w:pStyle w:val="11"/>
              <w:ind w:left="65" w:right="23"/>
              <w:jc w:val="center"/>
              <w:rPr>
                <w:sz w:val="18"/>
              </w:rPr>
            </w:pPr>
            <w:r>
              <w:rPr>
                <w:w w:val="105"/>
                <w:sz w:val="18"/>
              </w:rPr>
              <w:t>15%</w:t>
            </w:r>
          </w:p>
        </w:tc>
        <w:tc>
          <w:tcPr>
            <w:tcW w:w="1154" w:type="dxa"/>
            <w:vAlign w:val="center"/>
          </w:tcPr>
          <w:p>
            <w:pPr>
              <w:pStyle w:val="11"/>
              <w:ind w:left="68" w:right="26"/>
              <w:jc w:val="center"/>
              <w:rPr>
                <w:sz w:val="18"/>
              </w:rPr>
            </w:pPr>
            <w:r>
              <w:rPr>
                <w:w w:val="105"/>
                <w:sz w:val="18"/>
              </w:rPr>
              <w:t>15%</w:t>
            </w:r>
          </w:p>
        </w:tc>
        <w:tc>
          <w:tcPr>
            <w:tcW w:w="819" w:type="dxa"/>
            <w:vAlign w:val="center"/>
          </w:tcPr>
          <w:p>
            <w:pPr>
              <w:pStyle w:val="11"/>
              <w:ind w:left="65" w:right="23"/>
              <w:jc w:val="center"/>
              <w:rPr>
                <w:sz w:val="18"/>
              </w:rPr>
            </w:pPr>
            <w:r>
              <w:rPr>
                <w:w w:val="105"/>
                <w:sz w:val="18"/>
              </w:rPr>
              <w:t>30%</w:t>
            </w:r>
          </w:p>
        </w:tc>
        <w:tc>
          <w:tcPr>
            <w:tcW w:w="1027" w:type="dxa"/>
            <w:vAlign w:val="center"/>
          </w:tcPr>
          <w:p>
            <w:pPr>
              <w:pStyle w:val="11"/>
              <w:ind w:left="111" w:right="68"/>
              <w:jc w:val="center"/>
              <w:rPr>
                <w:sz w:val="18"/>
              </w:rPr>
            </w:pPr>
            <w:r>
              <w:rPr>
                <w:w w:val="105"/>
                <w:sz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2"/>
              <w:ind w:right="245"/>
              <w:jc w:val="center"/>
              <w:rPr>
                <w:rFonts w:ascii="宋体"/>
                <w:sz w:val="18"/>
              </w:rPr>
            </w:pPr>
            <w:r>
              <w:rPr>
                <w:rFonts w:ascii="宋体"/>
                <w:sz w:val="18"/>
              </w:rPr>
              <w:t>11</w:t>
            </w:r>
          </w:p>
        </w:tc>
        <w:tc>
          <w:tcPr>
            <w:tcW w:w="496" w:type="dxa"/>
            <w:vMerge w:val="restart"/>
            <w:vAlign w:val="center"/>
          </w:tcPr>
          <w:p>
            <w:pPr>
              <w:pStyle w:val="11"/>
              <w:spacing w:before="0"/>
              <w:jc w:val="center"/>
              <w:rPr>
                <w:rFonts w:ascii="宋体"/>
                <w:sz w:val="18"/>
              </w:rPr>
            </w:pPr>
          </w:p>
          <w:p>
            <w:pPr>
              <w:pStyle w:val="11"/>
              <w:spacing w:before="0"/>
              <w:jc w:val="center"/>
              <w:rPr>
                <w:rFonts w:ascii="宋体"/>
                <w:sz w:val="18"/>
              </w:rPr>
            </w:pPr>
          </w:p>
          <w:p>
            <w:pPr>
              <w:pStyle w:val="11"/>
              <w:spacing w:before="0"/>
              <w:jc w:val="center"/>
              <w:rPr>
                <w:rFonts w:ascii="宋体"/>
                <w:sz w:val="18"/>
              </w:rPr>
            </w:pPr>
          </w:p>
          <w:p>
            <w:pPr>
              <w:pStyle w:val="11"/>
              <w:spacing w:before="0"/>
              <w:jc w:val="center"/>
              <w:rPr>
                <w:rFonts w:ascii="宋体"/>
                <w:sz w:val="18"/>
              </w:rPr>
            </w:pPr>
          </w:p>
          <w:p>
            <w:pPr>
              <w:pStyle w:val="11"/>
              <w:spacing w:before="0"/>
              <w:jc w:val="center"/>
              <w:rPr>
                <w:rFonts w:ascii="宋体"/>
                <w:sz w:val="18"/>
              </w:rPr>
            </w:pPr>
          </w:p>
          <w:p>
            <w:pPr>
              <w:pStyle w:val="11"/>
              <w:spacing w:before="0"/>
              <w:jc w:val="center"/>
              <w:rPr>
                <w:rFonts w:ascii="宋体"/>
                <w:sz w:val="26"/>
              </w:rPr>
            </w:pPr>
          </w:p>
          <w:p>
            <w:pPr>
              <w:pStyle w:val="11"/>
              <w:spacing w:before="1" w:line="244" w:lineRule="auto"/>
              <w:ind w:left="108" w:right="38"/>
              <w:jc w:val="center"/>
              <w:rPr>
                <w:rFonts w:hint="eastAsia" w:ascii="宋体" w:eastAsia="宋体"/>
                <w:sz w:val="18"/>
              </w:rPr>
            </w:pPr>
            <w:r>
              <w:rPr>
                <w:rFonts w:hint="eastAsia" w:ascii="宋体" w:eastAsia="宋体"/>
                <w:w w:val="105"/>
                <w:sz w:val="18"/>
              </w:rPr>
              <w:t>省级补贴品种</w:t>
            </w:r>
          </w:p>
        </w:tc>
        <w:tc>
          <w:tcPr>
            <w:tcW w:w="3185" w:type="dxa"/>
            <w:gridSpan w:val="2"/>
            <w:vAlign w:val="center"/>
          </w:tcPr>
          <w:p>
            <w:pPr>
              <w:pStyle w:val="11"/>
              <w:spacing w:before="62"/>
              <w:jc w:val="center"/>
              <w:rPr>
                <w:rFonts w:hint="eastAsia" w:ascii="宋体" w:eastAsia="宋体"/>
                <w:sz w:val="18"/>
              </w:rPr>
            </w:pPr>
            <w:r>
              <w:rPr>
                <w:rFonts w:hint="eastAsia" w:ascii="宋体" w:eastAsia="宋体"/>
                <w:w w:val="105"/>
                <w:sz w:val="18"/>
              </w:rPr>
              <w:t>苹果（收入保险+期货）</w:t>
            </w:r>
          </w:p>
        </w:tc>
        <w:tc>
          <w:tcPr>
            <w:tcW w:w="854" w:type="dxa"/>
            <w:vAlign w:val="center"/>
          </w:tcPr>
          <w:p>
            <w:pPr>
              <w:pStyle w:val="11"/>
              <w:ind w:right="306"/>
              <w:jc w:val="center"/>
              <w:rPr>
                <w:sz w:val="18"/>
              </w:rPr>
            </w:pPr>
            <w:r>
              <w:rPr>
                <w:sz w:val="18"/>
              </w:rPr>
              <w:t>4000</w:t>
            </w:r>
          </w:p>
        </w:tc>
        <w:tc>
          <w:tcPr>
            <w:tcW w:w="923" w:type="dxa"/>
            <w:vAlign w:val="center"/>
          </w:tcPr>
          <w:p>
            <w:pPr>
              <w:pStyle w:val="11"/>
              <w:ind w:left="213" w:right="178"/>
              <w:jc w:val="center"/>
              <w:rPr>
                <w:sz w:val="18"/>
              </w:rPr>
            </w:pPr>
            <w:r>
              <w:rPr>
                <w:w w:val="105"/>
                <w:sz w:val="18"/>
              </w:rPr>
              <w:t>4.5%</w:t>
            </w:r>
          </w:p>
        </w:tc>
        <w:tc>
          <w:tcPr>
            <w:tcW w:w="727" w:type="dxa"/>
            <w:vAlign w:val="center"/>
          </w:tcPr>
          <w:p>
            <w:pPr>
              <w:pStyle w:val="11"/>
              <w:ind w:left="111" w:right="77"/>
              <w:jc w:val="center"/>
              <w:rPr>
                <w:sz w:val="18"/>
              </w:rPr>
            </w:pPr>
            <w:r>
              <w:rPr>
                <w:w w:val="105"/>
                <w:sz w:val="18"/>
              </w:rPr>
              <w:t>180</w:t>
            </w:r>
          </w:p>
        </w:tc>
        <w:tc>
          <w:tcPr>
            <w:tcW w:w="888" w:type="dxa"/>
            <w:vAlign w:val="center"/>
          </w:tcPr>
          <w:p>
            <w:pPr>
              <w:pStyle w:val="11"/>
              <w:ind w:right="404"/>
              <w:jc w:val="center"/>
              <w:rPr>
                <w:sz w:val="18"/>
              </w:rPr>
            </w:pPr>
            <w:r>
              <w:rPr>
                <w:w w:val="105"/>
                <w:sz w:val="18"/>
              </w:rPr>
              <w:t>0%</w:t>
            </w:r>
          </w:p>
        </w:tc>
        <w:tc>
          <w:tcPr>
            <w:tcW w:w="889" w:type="dxa"/>
            <w:vAlign w:val="center"/>
          </w:tcPr>
          <w:p>
            <w:pPr>
              <w:pStyle w:val="11"/>
              <w:ind w:right="404"/>
              <w:jc w:val="center"/>
              <w:rPr>
                <w:sz w:val="18"/>
              </w:rPr>
            </w:pPr>
            <w:r>
              <w:rPr>
                <w:w w:val="105"/>
                <w:sz w:val="18"/>
              </w:rPr>
              <w:t>40%</w:t>
            </w:r>
          </w:p>
        </w:tc>
        <w:tc>
          <w:tcPr>
            <w:tcW w:w="1038" w:type="dxa"/>
            <w:vAlign w:val="center"/>
          </w:tcPr>
          <w:p>
            <w:pPr>
              <w:pStyle w:val="11"/>
              <w:ind w:left="65" w:right="23"/>
              <w:jc w:val="center"/>
              <w:rPr>
                <w:sz w:val="18"/>
              </w:rPr>
            </w:pPr>
            <w:r>
              <w:rPr>
                <w:w w:val="105"/>
                <w:sz w:val="18"/>
              </w:rPr>
              <w:t>50%</w:t>
            </w:r>
          </w:p>
        </w:tc>
        <w:tc>
          <w:tcPr>
            <w:tcW w:w="1154" w:type="dxa"/>
            <w:vAlign w:val="center"/>
          </w:tcPr>
          <w:p>
            <w:pPr>
              <w:pStyle w:val="11"/>
              <w:ind w:left="68" w:right="26"/>
              <w:jc w:val="center"/>
              <w:rPr>
                <w:sz w:val="18"/>
              </w:rPr>
            </w:pPr>
            <w:r>
              <w:rPr>
                <w:w w:val="105"/>
                <w:sz w:val="18"/>
              </w:rPr>
              <w:t>40%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312" w:hRule="exact"/>
        </w:trPr>
        <w:tc>
          <w:tcPr>
            <w:tcW w:w="507" w:type="dxa"/>
            <w:vMerge w:val="restart"/>
            <w:vAlign w:val="center"/>
          </w:tcPr>
          <w:p>
            <w:pPr>
              <w:pStyle w:val="11"/>
              <w:spacing w:before="0"/>
              <w:jc w:val="center"/>
              <w:rPr>
                <w:rFonts w:ascii="宋体"/>
                <w:sz w:val="18"/>
              </w:rPr>
            </w:pPr>
          </w:p>
          <w:p>
            <w:pPr>
              <w:pStyle w:val="11"/>
              <w:spacing w:before="0"/>
              <w:ind w:right="227"/>
              <w:jc w:val="center"/>
              <w:rPr>
                <w:rFonts w:ascii="宋体"/>
                <w:sz w:val="18"/>
              </w:rPr>
            </w:pPr>
            <w:r>
              <w:rPr>
                <w:rFonts w:ascii="宋体"/>
                <w:w w:val="105"/>
                <w:sz w:val="18"/>
              </w:rPr>
              <w:t>12</w:t>
            </w:r>
          </w:p>
        </w:tc>
        <w:tc>
          <w:tcPr>
            <w:tcW w:w="496" w:type="dxa"/>
            <w:vMerge w:val="continue"/>
            <w:tcBorders>
              <w:top w:val="nil"/>
            </w:tcBorders>
            <w:vAlign w:val="center"/>
          </w:tcPr>
          <w:p>
            <w:pPr>
              <w:jc w:val="center"/>
              <w:rPr>
                <w:sz w:val="2"/>
                <w:szCs w:val="2"/>
              </w:rPr>
            </w:pPr>
          </w:p>
        </w:tc>
        <w:tc>
          <w:tcPr>
            <w:tcW w:w="393" w:type="dxa"/>
            <w:vMerge w:val="restart"/>
            <w:vAlign w:val="center"/>
          </w:tcPr>
          <w:p>
            <w:pPr>
              <w:pStyle w:val="11"/>
              <w:spacing w:before="0"/>
              <w:jc w:val="center"/>
              <w:rPr>
                <w:rFonts w:ascii="宋体"/>
                <w:sz w:val="18"/>
              </w:rPr>
            </w:pPr>
          </w:p>
          <w:p>
            <w:pPr>
              <w:pStyle w:val="11"/>
              <w:spacing w:before="7"/>
              <w:jc w:val="center"/>
              <w:rPr>
                <w:rFonts w:ascii="宋体"/>
                <w:sz w:val="13"/>
              </w:rPr>
            </w:pPr>
          </w:p>
          <w:p>
            <w:pPr>
              <w:pStyle w:val="11"/>
              <w:spacing w:before="0"/>
              <w:ind w:left="96"/>
              <w:jc w:val="center"/>
              <w:rPr>
                <w:rFonts w:hint="eastAsia" w:ascii="宋体" w:eastAsia="宋体"/>
                <w:sz w:val="18"/>
              </w:rPr>
            </w:pPr>
            <w:r>
              <w:rPr>
                <w:rFonts w:hint="eastAsia" w:ascii="宋体" w:eastAsia="宋体"/>
                <w:w w:val="105"/>
                <w:sz w:val="18"/>
              </w:rPr>
              <w:t>中药材</w:t>
            </w:r>
          </w:p>
        </w:tc>
        <w:tc>
          <w:tcPr>
            <w:tcW w:w="2792" w:type="dxa"/>
            <w:vAlign w:val="center"/>
          </w:tcPr>
          <w:p>
            <w:pPr>
              <w:pStyle w:val="11"/>
              <w:spacing w:before="62"/>
              <w:ind w:left="37"/>
              <w:jc w:val="center"/>
              <w:rPr>
                <w:rFonts w:hint="eastAsia" w:ascii="宋体" w:eastAsia="宋体"/>
                <w:sz w:val="18"/>
              </w:rPr>
            </w:pPr>
            <w:r>
              <w:rPr>
                <w:rFonts w:hint="eastAsia" w:ascii="宋体" w:eastAsia="宋体"/>
                <w:w w:val="105"/>
                <w:sz w:val="18"/>
              </w:rPr>
              <w:t>当归（收入保险）</w:t>
            </w:r>
          </w:p>
        </w:tc>
        <w:tc>
          <w:tcPr>
            <w:tcW w:w="854" w:type="dxa"/>
            <w:vAlign w:val="center"/>
          </w:tcPr>
          <w:p>
            <w:pPr>
              <w:pStyle w:val="11"/>
              <w:ind w:right="306"/>
              <w:jc w:val="center"/>
              <w:rPr>
                <w:sz w:val="18"/>
              </w:rPr>
            </w:pPr>
            <w:r>
              <w:rPr>
                <w:sz w:val="18"/>
              </w:rPr>
              <w:t>3300</w:t>
            </w:r>
          </w:p>
        </w:tc>
        <w:tc>
          <w:tcPr>
            <w:tcW w:w="923" w:type="dxa"/>
            <w:vAlign w:val="center"/>
          </w:tcPr>
          <w:p>
            <w:pPr>
              <w:pStyle w:val="11"/>
              <w:ind w:left="213" w:right="178"/>
              <w:jc w:val="center"/>
              <w:rPr>
                <w:sz w:val="18"/>
              </w:rPr>
            </w:pPr>
            <w:r>
              <w:rPr>
                <w:w w:val="105"/>
                <w:sz w:val="18"/>
              </w:rPr>
              <w:t>5.0%</w:t>
            </w:r>
          </w:p>
        </w:tc>
        <w:tc>
          <w:tcPr>
            <w:tcW w:w="727" w:type="dxa"/>
            <w:vAlign w:val="center"/>
          </w:tcPr>
          <w:p>
            <w:pPr>
              <w:pStyle w:val="11"/>
              <w:ind w:left="111" w:right="77"/>
              <w:jc w:val="center"/>
              <w:rPr>
                <w:sz w:val="18"/>
              </w:rPr>
            </w:pPr>
            <w:r>
              <w:rPr>
                <w:w w:val="105"/>
                <w:sz w:val="18"/>
              </w:rPr>
              <w:t>165</w:t>
            </w:r>
          </w:p>
        </w:tc>
        <w:tc>
          <w:tcPr>
            <w:tcW w:w="888" w:type="dxa"/>
            <w:vAlign w:val="center"/>
          </w:tcPr>
          <w:p>
            <w:pPr>
              <w:pStyle w:val="11"/>
              <w:ind w:right="404"/>
              <w:jc w:val="center"/>
              <w:rPr>
                <w:sz w:val="18"/>
              </w:rPr>
            </w:pPr>
            <w:r>
              <w:rPr>
                <w:w w:val="105"/>
                <w:sz w:val="18"/>
              </w:rPr>
              <w:t>0%</w:t>
            </w:r>
          </w:p>
        </w:tc>
        <w:tc>
          <w:tcPr>
            <w:tcW w:w="889" w:type="dxa"/>
            <w:vAlign w:val="center"/>
          </w:tcPr>
          <w:p>
            <w:pPr>
              <w:pStyle w:val="11"/>
              <w:ind w:right="404"/>
              <w:jc w:val="center"/>
              <w:rPr>
                <w:sz w:val="18"/>
              </w:rPr>
            </w:pPr>
            <w:r>
              <w:rPr>
                <w:w w:val="105"/>
                <w:sz w:val="18"/>
              </w:rPr>
              <w:t>40%</w:t>
            </w:r>
          </w:p>
        </w:tc>
        <w:tc>
          <w:tcPr>
            <w:tcW w:w="1038" w:type="dxa"/>
            <w:vAlign w:val="center"/>
          </w:tcPr>
          <w:p>
            <w:pPr>
              <w:pStyle w:val="11"/>
              <w:ind w:left="65" w:right="23"/>
              <w:jc w:val="center"/>
              <w:rPr>
                <w:sz w:val="18"/>
              </w:rPr>
            </w:pPr>
            <w:r>
              <w:rPr>
                <w:w w:val="105"/>
                <w:sz w:val="18"/>
              </w:rPr>
              <w:t>50%</w:t>
            </w:r>
          </w:p>
        </w:tc>
        <w:tc>
          <w:tcPr>
            <w:tcW w:w="1154" w:type="dxa"/>
            <w:vAlign w:val="center"/>
          </w:tcPr>
          <w:p>
            <w:pPr>
              <w:pStyle w:val="11"/>
              <w:ind w:left="68" w:right="26"/>
              <w:jc w:val="center"/>
              <w:rPr>
                <w:sz w:val="18"/>
              </w:rPr>
            </w:pPr>
            <w:r>
              <w:rPr>
                <w:w w:val="105"/>
                <w:sz w:val="18"/>
              </w:rPr>
              <w:t>40%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Merge w:val="continue"/>
            <w:tcBorders>
              <w:top w:val="nil"/>
            </w:tcBorders>
            <w:vAlign w:val="center"/>
          </w:tcPr>
          <w:p>
            <w:pPr>
              <w:jc w:val="center"/>
              <w:rPr>
                <w:sz w:val="2"/>
                <w:szCs w:val="2"/>
              </w:rPr>
            </w:pPr>
          </w:p>
        </w:tc>
        <w:tc>
          <w:tcPr>
            <w:tcW w:w="496" w:type="dxa"/>
            <w:vMerge w:val="continue"/>
            <w:tcBorders>
              <w:top w:val="nil"/>
            </w:tcBorders>
            <w:vAlign w:val="center"/>
          </w:tcPr>
          <w:p>
            <w:pPr>
              <w:jc w:val="center"/>
              <w:rPr>
                <w:sz w:val="2"/>
                <w:szCs w:val="2"/>
              </w:rPr>
            </w:pPr>
          </w:p>
        </w:tc>
        <w:tc>
          <w:tcPr>
            <w:tcW w:w="393" w:type="dxa"/>
            <w:vMerge w:val="continue"/>
            <w:tcBorders>
              <w:top w:val="nil"/>
            </w:tcBorders>
            <w:vAlign w:val="center"/>
          </w:tcPr>
          <w:p>
            <w:pPr>
              <w:jc w:val="center"/>
              <w:rPr>
                <w:sz w:val="2"/>
                <w:szCs w:val="2"/>
              </w:rPr>
            </w:pPr>
          </w:p>
        </w:tc>
        <w:tc>
          <w:tcPr>
            <w:tcW w:w="2792" w:type="dxa"/>
            <w:vAlign w:val="center"/>
          </w:tcPr>
          <w:p>
            <w:pPr>
              <w:pStyle w:val="11"/>
              <w:spacing w:before="61"/>
              <w:ind w:left="37"/>
              <w:jc w:val="center"/>
              <w:rPr>
                <w:rFonts w:hint="eastAsia" w:ascii="宋体" w:eastAsia="宋体"/>
                <w:sz w:val="18"/>
              </w:rPr>
            </w:pPr>
            <w:r>
              <w:rPr>
                <w:rFonts w:hint="eastAsia" w:ascii="宋体" w:eastAsia="宋体"/>
                <w:w w:val="105"/>
                <w:sz w:val="18"/>
              </w:rPr>
              <w:t>党参（收入保险）</w:t>
            </w:r>
          </w:p>
        </w:tc>
        <w:tc>
          <w:tcPr>
            <w:tcW w:w="854" w:type="dxa"/>
            <w:vAlign w:val="center"/>
          </w:tcPr>
          <w:p>
            <w:pPr>
              <w:pStyle w:val="11"/>
              <w:ind w:right="306"/>
              <w:jc w:val="center"/>
              <w:rPr>
                <w:sz w:val="18"/>
              </w:rPr>
            </w:pPr>
            <w:r>
              <w:rPr>
                <w:sz w:val="18"/>
              </w:rPr>
              <w:t>3000</w:t>
            </w:r>
          </w:p>
        </w:tc>
        <w:tc>
          <w:tcPr>
            <w:tcW w:w="923" w:type="dxa"/>
            <w:vAlign w:val="center"/>
          </w:tcPr>
          <w:p>
            <w:pPr>
              <w:pStyle w:val="11"/>
              <w:ind w:left="213" w:right="178"/>
              <w:jc w:val="center"/>
              <w:rPr>
                <w:sz w:val="18"/>
              </w:rPr>
            </w:pPr>
            <w:r>
              <w:rPr>
                <w:w w:val="105"/>
                <w:sz w:val="18"/>
              </w:rPr>
              <w:t>5.0%</w:t>
            </w:r>
          </w:p>
        </w:tc>
        <w:tc>
          <w:tcPr>
            <w:tcW w:w="727" w:type="dxa"/>
            <w:vAlign w:val="center"/>
          </w:tcPr>
          <w:p>
            <w:pPr>
              <w:pStyle w:val="11"/>
              <w:ind w:left="111" w:right="77"/>
              <w:jc w:val="center"/>
              <w:rPr>
                <w:sz w:val="18"/>
              </w:rPr>
            </w:pPr>
            <w:r>
              <w:rPr>
                <w:w w:val="105"/>
                <w:sz w:val="18"/>
              </w:rPr>
              <w:t>150</w:t>
            </w:r>
          </w:p>
        </w:tc>
        <w:tc>
          <w:tcPr>
            <w:tcW w:w="888" w:type="dxa"/>
            <w:vAlign w:val="center"/>
          </w:tcPr>
          <w:p>
            <w:pPr>
              <w:pStyle w:val="11"/>
              <w:ind w:right="404"/>
              <w:jc w:val="center"/>
              <w:rPr>
                <w:sz w:val="18"/>
              </w:rPr>
            </w:pPr>
            <w:r>
              <w:rPr>
                <w:w w:val="105"/>
                <w:sz w:val="18"/>
              </w:rPr>
              <w:t>0%</w:t>
            </w:r>
          </w:p>
        </w:tc>
        <w:tc>
          <w:tcPr>
            <w:tcW w:w="889" w:type="dxa"/>
            <w:vAlign w:val="center"/>
          </w:tcPr>
          <w:p>
            <w:pPr>
              <w:pStyle w:val="11"/>
              <w:ind w:right="404"/>
              <w:jc w:val="center"/>
              <w:rPr>
                <w:sz w:val="18"/>
              </w:rPr>
            </w:pPr>
            <w:r>
              <w:rPr>
                <w:w w:val="105"/>
                <w:sz w:val="18"/>
              </w:rPr>
              <w:t>40%</w:t>
            </w:r>
          </w:p>
        </w:tc>
        <w:tc>
          <w:tcPr>
            <w:tcW w:w="1038" w:type="dxa"/>
            <w:vAlign w:val="center"/>
          </w:tcPr>
          <w:p>
            <w:pPr>
              <w:pStyle w:val="11"/>
              <w:ind w:left="65" w:right="23"/>
              <w:jc w:val="center"/>
              <w:rPr>
                <w:sz w:val="18"/>
              </w:rPr>
            </w:pPr>
            <w:r>
              <w:rPr>
                <w:w w:val="105"/>
                <w:sz w:val="18"/>
              </w:rPr>
              <w:t>50%</w:t>
            </w:r>
          </w:p>
        </w:tc>
        <w:tc>
          <w:tcPr>
            <w:tcW w:w="1154" w:type="dxa"/>
            <w:vAlign w:val="center"/>
          </w:tcPr>
          <w:p>
            <w:pPr>
              <w:pStyle w:val="11"/>
              <w:ind w:left="68" w:right="26"/>
              <w:jc w:val="center"/>
              <w:rPr>
                <w:sz w:val="18"/>
              </w:rPr>
            </w:pPr>
            <w:r>
              <w:rPr>
                <w:w w:val="105"/>
                <w:sz w:val="18"/>
              </w:rPr>
              <w:t>40%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Merge w:val="continue"/>
            <w:tcBorders>
              <w:top w:val="nil"/>
            </w:tcBorders>
            <w:vAlign w:val="center"/>
          </w:tcPr>
          <w:p>
            <w:pPr>
              <w:jc w:val="center"/>
              <w:rPr>
                <w:sz w:val="2"/>
                <w:szCs w:val="2"/>
              </w:rPr>
            </w:pPr>
          </w:p>
        </w:tc>
        <w:tc>
          <w:tcPr>
            <w:tcW w:w="496" w:type="dxa"/>
            <w:vMerge w:val="continue"/>
            <w:tcBorders>
              <w:top w:val="nil"/>
            </w:tcBorders>
            <w:vAlign w:val="center"/>
          </w:tcPr>
          <w:p>
            <w:pPr>
              <w:jc w:val="center"/>
              <w:rPr>
                <w:sz w:val="2"/>
                <w:szCs w:val="2"/>
              </w:rPr>
            </w:pPr>
          </w:p>
        </w:tc>
        <w:tc>
          <w:tcPr>
            <w:tcW w:w="393" w:type="dxa"/>
            <w:vMerge w:val="continue"/>
            <w:tcBorders>
              <w:top w:val="nil"/>
            </w:tcBorders>
            <w:vAlign w:val="center"/>
          </w:tcPr>
          <w:p>
            <w:pPr>
              <w:jc w:val="center"/>
              <w:rPr>
                <w:sz w:val="2"/>
                <w:szCs w:val="2"/>
              </w:rPr>
            </w:pPr>
          </w:p>
        </w:tc>
        <w:tc>
          <w:tcPr>
            <w:tcW w:w="2792" w:type="dxa"/>
            <w:vAlign w:val="center"/>
          </w:tcPr>
          <w:p>
            <w:pPr>
              <w:pStyle w:val="11"/>
              <w:spacing w:before="61"/>
              <w:ind w:left="37"/>
              <w:jc w:val="center"/>
              <w:rPr>
                <w:rFonts w:hint="eastAsia" w:ascii="宋体" w:eastAsia="宋体"/>
                <w:sz w:val="18"/>
              </w:rPr>
            </w:pPr>
            <w:r>
              <w:rPr>
                <w:rFonts w:hint="eastAsia" w:ascii="宋体" w:eastAsia="宋体"/>
                <w:w w:val="105"/>
                <w:sz w:val="18"/>
              </w:rPr>
              <w:t>黄芪（收入保险）</w:t>
            </w:r>
          </w:p>
        </w:tc>
        <w:tc>
          <w:tcPr>
            <w:tcW w:w="854" w:type="dxa"/>
            <w:vAlign w:val="center"/>
          </w:tcPr>
          <w:p>
            <w:pPr>
              <w:pStyle w:val="11"/>
              <w:ind w:right="306"/>
              <w:jc w:val="center"/>
              <w:rPr>
                <w:sz w:val="18"/>
              </w:rPr>
            </w:pPr>
            <w:r>
              <w:rPr>
                <w:sz w:val="18"/>
              </w:rPr>
              <w:t>2800</w:t>
            </w:r>
          </w:p>
        </w:tc>
        <w:tc>
          <w:tcPr>
            <w:tcW w:w="923" w:type="dxa"/>
            <w:vAlign w:val="center"/>
          </w:tcPr>
          <w:p>
            <w:pPr>
              <w:pStyle w:val="11"/>
              <w:ind w:left="213" w:right="178"/>
              <w:jc w:val="center"/>
              <w:rPr>
                <w:sz w:val="18"/>
              </w:rPr>
            </w:pPr>
            <w:r>
              <w:rPr>
                <w:w w:val="105"/>
                <w:sz w:val="18"/>
              </w:rPr>
              <w:t>5.0%</w:t>
            </w:r>
          </w:p>
        </w:tc>
        <w:tc>
          <w:tcPr>
            <w:tcW w:w="727" w:type="dxa"/>
            <w:vAlign w:val="center"/>
          </w:tcPr>
          <w:p>
            <w:pPr>
              <w:pStyle w:val="11"/>
              <w:ind w:left="111" w:right="77"/>
              <w:jc w:val="center"/>
              <w:rPr>
                <w:sz w:val="18"/>
              </w:rPr>
            </w:pPr>
            <w:r>
              <w:rPr>
                <w:w w:val="105"/>
                <w:sz w:val="18"/>
              </w:rPr>
              <w:t>140</w:t>
            </w:r>
          </w:p>
        </w:tc>
        <w:tc>
          <w:tcPr>
            <w:tcW w:w="888" w:type="dxa"/>
            <w:vAlign w:val="center"/>
          </w:tcPr>
          <w:p>
            <w:pPr>
              <w:pStyle w:val="11"/>
              <w:ind w:right="404"/>
              <w:jc w:val="center"/>
              <w:rPr>
                <w:sz w:val="18"/>
              </w:rPr>
            </w:pPr>
            <w:r>
              <w:rPr>
                <w:w w:val="105"/>
                <w:sz w:val="18"/>
              </w:rPr>
              <w:t>0%</w:t>
            </w:r>
          </w:p>
        </w:tc>
        <w:tc>
          <w:tcPr>
            <w:tcW w:w="889" w:type="dxa"/>
            <w:vAlign w:val="center"/>
          </w:tcPr>
          <w:p>
            <w:pPr>
              <w:pStyle w:val="11"/>
              <w:ind w:right="404"/>
              <w:jc w:val="center"/>
              <w:rPr>
                <w:sz w:val="18"/>
              </w:rPr>
            </w:pPr>
            <w:r>
              <w:rPr>
                <w:w w:val="105"/>
                <w:sz w:val="18"/>
              </w:rPr>
              <w:t>40%</w:t>
            </w:r>
          </w:p>
        </w:tc>
        <w:tc>
          <w:tcPr>
            <w:tcW w:w="1038" w:type="dxa"/>
            <w:vAlign w:val="center"/>
          </w:tcPr>
          <w:p>
            <w:pPr>
              <w:pStyle w:val="11"/>
              <w:ind w:left="65" w:right="23"/>
              <w:jc w:val="center"/>
              <w:rPr>
                <w:sz w:val="18"/>
              </w:rPr>
            </w:pPr>
            <w:r>
              <w:rPr>
                <w:w w:val="105"/>
                <w:sz w:val="18"/>
              </w:rPr>
              <w:t>50%</w:t>
            </w:r>
          </w:p>
        </w:tc>
        <w:tc>
          <w:tcPr>
            <w:tcW w:w="1154" w:type="dxa"/>
            <w:vAlign w:val="center"/>
          </w:tcPr>
          <w:p>
            <w:pPr>
              <w:pStyle w:val="11"/>
              <w:ind w:left="68" w:right="26"/>
              <w:jc w:val="center"/>
              <w:rPr>
                <w:sz w:val="18"/>
              </w:rPr>
            </w:pPr>
            <w:r>
              <w:rPr>
                <w:w w:val="105"/>
                <w:sz w:val="18"/>
              </w:rPr>
              <w:t>40%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2"/>
              <w:ind w:right="245"/>
              <w:jc w:val="center"/>
              <w:rPr>
                <w:rFonts w:ascii="宋体"/>
                <w:sz w:val="18"/>
              </w:rPr>
            </w:pPr>
            <w:r>
              <w:rPr>
                <w:rFonts w:ascii="宋体"/>
                <w:sz w:val="18"/>
              </w:rPr>
              <w:t>13</w:t>
            </w:r>
          </w:p>
        </w:tc>
        <w:tc>
          <w:tcPr>
            <w:tcW w:w="496" w:type="dxa"/>
            <w:vMerge w:val="continue"/>
            <w:tcBorders>
              <w:top w:val="nil"/>
            </w:tcBorders>
            <w:vAlign w:val="center"/>
          </w:tcPr>
          <w:p>
            <w:pPr>
              <w:jc w:val="center"/>
              <w:rPr>
                <w:sz w:val="2"/>
                <w:szCs w:val="2"/>
              </w:rPr>
            </w:pPr>
          </w:p>
        </w:tc>
        <w:tc>
          <w:tcPr>
            <w:tcW w:w="3185" w:type="dxa"/>
            <w:gridSpan w:val="2"/>
            <w:vAlign w:val="center"/>
          </w:tcPr>
          <w:p>
            <w:pPr>
              <w:pStyle w:val="11"/>
              <w:spacing w:before="62"/>
              <w:ind w:left="1160"/>
              <w:jc w:val="center"/>
              <w:rPr>
                <w:rFonts w:hint="eastAsia" w:ascii="宋体" w:eastAsia="宋体"/>
                <w:sz w:val="18"/>
              </w:rPr>
            </w:pPr>
            <w:r>
              <w:rPr>
                <w:rFonts w:hint="eastAsia" w:ascii="宋体" w:eastAsia="宋体"/>
                <w:w w:val="105"/>
                <w:sz w:val="18"/>
              </w:rPr>
              <w:t>肉牛（成本保险）</w:t>
            </w:r>
          </w:p>
        </w:tc>
        <w:tc>
          <w:tcPr>
            <w:tcW w:w="854" w:type="dxa"/>
            <w:vAlign w:val="center"/>
          </w:tcPr>
          <w:p>
            <w:pPr>
              <w:pStyle w:val="11"/>
              <w:ind w:right="306"/>
              <w:jc w:val="center"/>
              <w:rPr>
                <w:sz w:val="18"/>
              </w:rPr>
            </w:pPr>
            <w:r>
              <w:rPr>
                <w:sz w:val="18"/>
              </w:rPr>
              <w:t>7000</w:t>
            </w:r>
          </w:p>
        </w:tc>
        <w:tc>
          <w:tcPr>
            <w:tcW w:w="923" w:type="dxa"/>
            <w:vAlign w:val="center"/>
          </w:tcPr>
          <w:p>
            <w:pPr>
              <w:pStyle w:val="11"/>
              <w:ind w:left="213" w:right="178"/>
              <w:jc w:val="center"/>
              <w:rPr>
                <w:sz w:val="18"/>
              </w:rPr>
            </w:pPr>
            <w:r>
              <w:rPr>
                <w:w w:val="105"/>
                <w:sz w:val="18"/>
              </w:rPr>
              <w:t>4.0%</w:t>
            </w:r>
          </w:p>
        </w:tc>
        <w:tc>
          <w:tcPr>
            <w:tcW w:w="727" w:type="dxa"/>
            <w:vAlign w:val="center"/>
          </w:tcPr>
          <w:p>
            <w:pPr>
              <w:pStyle w:val="11"/>
              <w:ind w:left="111" w:right="77"/>
              <w:jc w:val="center"/>
              <w:rPr>
                <w:sz w:val="18"/>
              </w:rPr>
            </w:pPr>
            <w:r>
              <w:rPr>
                <w:w w:val="105"/>
                <w:sz w:val="18"/>
              </w:rPr>
              <w:t>280</w:t>
            </w:r>
          </w:p>
        </w:tc>
        <w:tc>
          <w:tcPr>
            <w:tcW w:w="888" w:type="dxa"/>
            <w:vAlign w:val="center"/>
          </w:tcPr>
          <w:p>
            <w:pPr>
              <w:pStyle w:val="11"/>
              <w:ind w:right="404"/>
              <w:jc w:val="center"/>
              <w:rPr>
                <w:sz w:val="18"/>
              </w:rPr>
            </w:pPr>
            <w:r>
              <w:rPr>
                <w:w w:val="105"/>
                <w:sz w:val="18"/>
              </w:rPr>
              <w:t>0%</w:t>
            </w:r>
          </w:p>
        </w:tc>
        <w:tc>
          <w:tcPr>
            <w:tcW w:w="889" w:type="dxa"/>
            <w:vAlign w:val="center"/>
          </w:tcPr>
          <w:p>
            <w:pPr>
              <w:pStyle w:val="11"/>
              <w:ind w:right="404"/>
              <w:jc w:val="center"/>
              <w:rPr>
                <w:sz w:val="18"/>
              </w:rPr>
            </w:pPr>
            <w:r>
              <w:rPr>
                <w:w w:val="105"/>
                <w:sz w:val="18"/>
              </w:rPr>
              <w:t>40%</w:t>
            </w:r>
          </w:p>
        </w:tc>
        <w:tc>
          <w:tcPr>
            <w:tcW w:w="1038" w:type="dxa"/>
            <w:vAlign w:val="center"/>
          </w:tcPr>
          <w:p>
            <w:pPr>
              <w:pStyle w:val="11"/>
              <w:ind w:left="65" w:right="23"/>
              <w:jc w:val="center"/>
              <w:rPr>
                <w:sz w:val="18"/>
              </w:rPr>
            </w:pPr>
            <w:r>
              <w:rPr>
                <w:w w:val="105"/>
                <w:sz w:val="18"/>
              </w:rPr>
              <w:t>50%</w:t>
            </w:r>
          </w:p>
        </w:tc>
        <w:tc>
          <w:tcPr>
            <w:tcW w:w="1154" w:type="dxa"/>
            <w:vAlign w:val="center"/>
          </w:tcPr>
          <w:p>
            <w:pPr>
              <w:pStyle w:val="11"/>
              <w:ind w:left="68" w:right="26"/>
              <w:jc w:val="center"/>
              <w:rPr>
                <w:sz w:val="18"/>
              </w:rPr>
            </w:pPr>
            <w:r>
              <w:rPr>
                <w:w w:val="105"/>
                <w:sz w:val="18"/>
              </w:rPr>
              <w:t>40%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2"/>
              <w:ind w:right="245"/>
              <w:jc w:val="center"/>
              <w:rPr>
                <w:rFonts w:ascii="宋体"/>
                <w:sz w:val="18"/>
              </w:rPr>
            </w:pPr>
            <w:r>
              <w:rPr>
                <w:rFonts w:ascii="宋体"/>
                <w:sz w:val="18"/>
              </w:rPr>
              <w:t>14</w:t>
            </w:r>
          </w:p>
        </w:tc>
        <w:tc>
          <w:tcPr>
            <w:tcW w:w="496" w:type="dxa"/>
            <w:vMerge w:val="continue"/>
            <w:tcBorders>
              <w:top w:val="nil"/>
            </w:tcBorders>
            <w:vAlign w:val="center"/>
          </w:tcPr>
          <w:p>
            <w:pPr>
              <w:jc w:val="center"/>
              <w:rPr>
                <w:sz w:val="2"/>
                <w:szCs w:val="2"/>
              </w:rPr>
            </w:pPr>
          </w:p>
        </w:tc>
        <w:tc>
          <w:tcPr>
            <w:tcW w:w="3185" w:type="dxa"/>
            <w:gridSpan w:val="2"/>
            <w:vAlign w:val="center"/>
          </w:tcPr>
          <w:p>
            <w:pPr>
              <w:pStyle w:val="11"/>
              <w:spacing w:before="62"/>
              <w:ind w:left="1160"/>
              <w:jc w:val="center"/>
              <w:rPr>
                <w:rFonts w:hint="eastAsia" w:ascii="宋体" w:eastAsia="宋体"/>
                <w:sz w:val="18"/>
              </w:rPr>
            </w:pPr>
            <w:r>
              <w:rPr>
                <w:rFonts w:hint="eastAsia" w:ascii="宋体" w:eastAsia="宋体"/>
                <w:w w:val="105"/>
                <w:sz w:val="18"/>
              </w:rPr>
              <w:t>肉羊（成本保险）</w:t>
            </w:r>
          </w:p>
        </w:tc>
        <w:tc>
          <w:tcPr>
            <w:tcW w:w="854" w:type="dxa"/>
            <w:vAlign w:val="center"/>
          </w:tcPr>
          <w:p>
            <w:pPr>
              <w:pStyle w:val="11"/>
              <w:ind w:right="336"/>
              <w:jc w:val="center"/>
              <w:rPr>
                <w:sz w:val="18"/>
              </w:rPr>
            </w:pPr>
            <w:r>
              <w:rPr>
                <w:w w:val="105"/>
                <w:sz w:val="18"/>
              </w:rPr>
              <w:t>700</w:t>
            </w:r>
          </w:p>
        </w:tc>
        <w:tc>
          <w:tcPr>
            <w:tcW w:w="923" w:type="dxa"/>
            <w:vAlign w:val="center"/>
          </w:tcPr>
          <w:p>
            <w:pPr>
              <w:pStyle w:val="11"/>
              <w:ind w:left="213" w:right="178"/>
              <w:jc w:val="center"/>
              <w:rPr>
                <w:sz w:val="18"/>
              </w:rPr>
            </w:pPr>
            <w:r>
              <w:rPr>
                <w:w w:val="105"/>
                <w:sz w:val="18"/>
              </w:rPr>
              <w:t>4.0%</w:t>
            </w:r>
          </w:p>
        </w:tc>
        <w:tc>
          <w:tcPr>
            <w:tcW w:w="727" w:type="dxa"/>
            <w:vAlign w:val="center"/>
          </w:tcPr>
          <w:p>
            <w:pPr>
              <w:pStyle w:val="11"/>
              <w:ind w:left="111" w:right="71"/>
              <w:jc w:val="center"/>
              <w:rPr>
                <w:sz w:val="18"/>
              </w:rPr>
            </w:pPr>
            <w:r>
              <w:rPr>
                <w:w w:val="105"/>
                <w:sz w:val="18"/>
              </w:rPr>
              <w:t>28</w:t>
            </w:r>
          </w:p>
        </w:tc>
        <w:tc>
          <w:tcPr>
            <w:tcW w:w="888" w:type="dxa"/>
            <w:vAlign w:val="center"/>
          </w:tcPr>
          <w:p>
            <w:pPr>
              <w:pStyle w:val="11"/>
              <w:ind w:right="404"/>
              <w:jc w:val="center"/>
              <w:rPr>
                <w:sz w:val="18"/>
              </w:rPr>
            </w:pPr>
            <w:r>
              <w:rPr>
                <w:w w:val="105"/>
                <w:sz w:val="18"/>
              </w:rPr>
              <w:t>0%</w:t>
            </w:r>
          </w:p>
        </w:tc>
        <w:tc>
          <w:tcPr>
            <w:tcW w:w="889" w:type="dxa"/>
            <w:vAlign w:val="center"/>
          </w:tcPr>
          <w:p>
            <w:pPr>
              <w:pStyle w:val="11"/>
              <w:ind w:right="404"/>
              <w:jc w:val="center"/>
              <w:rPr>
                <w:sz w:val="18"/>
              </w:rPr>
            </w:pPr>
            <w:r>
              <w:rPr>
                <w:w w:val="105"/>
                <w:sz w:val="18"/>
              </w:rPr>
              <w:t>40%</w:t>
            </w:r>
          </w:p>
        </w:tc>
        <w:tc>
          <w:tcPr>
            <w:tcW w:w="1038" w:type="dxa"/>
            <w:vAlign w:val="center"/>
          </w:tcPr>
          <w:p>
            <w:pPr>
              <w:pStyle w:val="11"/>
              <w:ind w:left="65" w:right="23"/>
              <w:jc w:val="center"/>
              <w:rPr>
                <w:sz w:val="18"/>
              </w:rPr>
            </w:pPr>
            <w:r>
              <w:rPr>
                <w:w w:val="105"/>
                <w:sz w:val="18"/>
              </w:rPr>
              <w:t>50%</w:t>
            </w:r>
          </w:p>
        </w:tc>
        <w:tc>
          <w:tcPr>
            <w:tcW w:w="1154" w:type="dxa"/>
            <w:vAlign w:val="center"/>
          </w:tcPr>
          <w:p>
            <w:pPr>
              <w:pStyle w:val="11"/>
              <w:ind w:left="68" w:right="26"/>
              <w:jc w:val="center"/>
              <w:rPr>
                <w:sz w:val="18"/>
              </w:rPr>
            </w:pPr>
            <w:r>
              <w:rPr>
                <w:w w:val="105"/>
                <w:sz w:val="18"/>
              </w:rPr>
              <w:t>40%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1"/>
              <w:ind w:right="245"/>
              <w:jc w:val="center"/>
              <w:rPr>
                <w:rFonts w:ascii="宋体"/>
                <w:sz w:val="18"/>
              </w:rPr>
            </w:pPr>
            <w:r>
              <w:rPr>
                <w:rFonts w:ascii="宋体"/>
                <w:sz w:val="18"/>
              </w:rPr>
              <w:t>15</w:t>
            </w:r>
          </w:p>
        </w:tc>
        <w:tc>
          <w:tcPr>
            <w:tcW w:w="496" w:type="dxa"/>
            <w:vMerge w:val="continue"/>
            <w:tcBorders>
              <w:top w:val="nil"/>
            </w:tcBorders>
            <w:vAlign w:val="center"/>
          </w:tcPr>
          <w:p>
            <w:pPr>
              <w:jc w:val="center"/>
              <w:rPr>
                <w:sz w:val="2"/>
                <w:szCs w:val="2"/>
              </w:rPr>
            </w:pPr>
          </w:p>
        </w:tc>
        <w:tc>
          <w:tcPr>
            <w:tcW w:w="393" w:type="dxa"/>
            <w:vMerge w:val="restart"/>
            <w:vAlign w:val="center"/>
          </w:tcPr>
          <w:p>
            <w:pPr>
              <w:pStyle w:val="11"/>
              <w:spacing w:before="1"/>
              <w:jc w:val="center"/>
              <w:rPr>
                <w:rFonts w:ascii="宋体"/>
                <w:sz w:val="18"/>
              </w:rPr>
            </w:pPr>
          </w:p>
          <w:p>
            <w:pPr>
              <w:pStyle w:val="11"/>
              <w:spacing w:before="0"/>
              <w:ind w:left="192"/>
              <w:jc w:val="center"/>
              <w:rPr>
                <w:rFonts w:hint="eastAsia" w:ascii="宋体" w:eastAsia="宋体"/>
                <w:sz w:val="18"/>
              </w:rPr>
            </w:pPr>
            <w:r>
              <w:rPr>
                <w:rFonts w:hint="eastAsia" w:ascii="宋体" w:eastAsia="宋体"/>
                <w:w w:val="105"/>
                <w:sz w:val="18"/>
              </w:rPr>
              <w:t>蔬菜</w:t>
            </w:r>
          </w:p>
        </w:tc>
        <w:tc>
          <w:tcPr>
            <w:tcW w:w="2792" w:type="dxa"/>
            <w:vAlign w:val="center"/>
          </w:tcPr>
          <w:p>
            <w:pPr>
              <w:pStyle w:val="11"/>
              <w:spacing w:before="61"/>
              <w:ind w:left="37"/>
              <w:jc w:val="center"/>
              <w:rPr>
                <w:rFonts w:hint="eastAsia" w:ascii="宋体" w:eastAsia="宋体"/>
                <w:sz w:val="18"/>
              </w:rPr>
            </w:pPr>
            <w:r>
              <w:rPr>
                <w:rFonts w:hint="eastAsia" w:ascii="宋体" w:eastAsia="宋体"/>
                <w:w w:val="105"/>
                <w:sz w:val="18"/>
              </w:rPr>
              <w:t>高原夏菜（成本+目标价格保险）</w:t>
            </w:r>
          </w:p>
        </w:tc>
        <w:tc>
          <w:tcPr>
            <w:tcW w:w="854" w:type="dxa"/>
            <w:vAlign w:val="center"/>
          </w:tcPr>
          <w:p>
            <w:pPr>
              <w:pStyle w:val="11"/>
              <w:ind w:right="306"/>
              <w:jc w:val="center"/>
              <w:rPr>
                <w:sz w:val="18"/>
              </w:rPr>
            </w:pPr>
            <w:r>
              <w:rPr>
                <w:sz w:val="18"/>
              </w:rPr>
              <w:t>2500</w:t>
            </w:r>
          </w:p>
        </w:tc>
        <w:tc>
          <w:tcPr>
            <w:tcW w:w="923" w:type="dxa"/>
            <w:vAlign w:val="center"/>
          </w:tcPr>
          <w:p>
            <w:pPr>
              <w:pStyle w:val="11"/>
              <w:ind w:left="213" w:right="178"/>
              <w:jc w:val="center"/>
              <w:rPr>
                <w:sz w:val="18"/>
              </w:rPr>
            </w:pPr>
            <w:r>
              <w:rPr>
                <w:w w:val="105"/>
                <w:sz w:val="18"/>
              </w:rPr>
              <w:t>4.5%</w:t>
            </w:r>
          </w:p>
        </w:tc>
        <w:tc>
          <w:tcPr>
            <w:tcW w:w="727" w:type="dxa"/>
            <w:vAlign w:val="center"/>
          </w:tcPr>
          <w:p>
            <w:pPr>
              <w:pStyle w:val="11"/>
              <w:ind w:left="111" w:right="73"/>
              <w:jc w:val="center"/>
              <w:rPr>
                <w:sz w:val="18"/>
              </w:rPr>
            </w:pPr>
            <w:r>
              <w:rPr>
                <w:w w:val="105"/>
                <w:sz w:val="18"/>
              </w:rPr>
              <w:t>112.5</w:t>
            </w:r>
          </w:p>
        </w:tc>
        <w:tc>
          <w:tcPr>
            <w:tcW w:w="888" w:type="dxa"/>
            <w:vAlign w:val="center"/>
          </w:tcPr>
          <w:p>
            <w:pPr>
              <w:pStyle w:val="11"/>
              <w:ind w:right="404"/>
              <w:jc w:val="center"/>
              <w:rPr>
                <w:sz w:val="18"/>
              </w:rPr>
            </w:pPr>
            <w:r>
              <w:rPr>
                <w:w w:val="105"/>
                <w:sz w:val="18"/>
              </w:rPr>
              <w:t>0%</w:t>
            </w:r>
          </w:p>
        </w:tc>
        <w:tc>
          <w:tcPr>
            <w:tcW w:w="889" w:type="dxa"/>
            <w:vAlign w:val="center"/>
          </w:tcPr>
          <w:p>
            <w:pPr>
              <w:pStyle w:val="11"/>
              <w:ind w:right="404"/>
              <w:jc w:val="center"/>
              <w:rPr>
                <w:sz w:val="18"/>
              </w:rPr>
            </w:pPr>
            <w:r>
              <w:rPr>
                <w:w w:val="105"/>
                <w:sz w:val="18"/>
              </w:rPr>
              <w:t>40%</w:t>
            </w:r>
          </w:p>
        </w:tc>
        <w:tc>
          <w:tcPr>
            <w:tcW w:w="1038" w:type="dxa"/>
            <w:vAlign w:val="center"/>
          </w:tcPr>
          <w:p>
            <w:pPr>
              <w:pStyle w:val="11"/>
              <w:ind w:left="65" w:right="23"/>
              <w:jc w:val="center"/>
              <w:rPr>
                <w:sz w:val="18"/>
              </w:rPr>
            </w:pPr>
            <w:r>
              <w:rPr>
                <w:w w:val="105"/>
                <w:sz w:val="18"/>
              </w:rPr>
              <w:t>50%</w:t>
            </w:r>
          </w:p>
        </w:tc>
        <w:tc>
          <w:tcPr>
            <w:tcW w:w="1154" w:type="dxa"/>
            <w:vAlign w:val="center"/>
          </w:tcPr>
          <w:p>
            <w:pPr>
              <w:pStyle w:val="11"/>
              <w:ind w:left="68" w:right="26"/>
              <w:jc w:val="center"/>
              <w:rPr>
                <w:sz w:val="18"/>
              </w:rPr>
            </w:pPr>
            <w:r>
              <w:rPr>
                <w:w w:val="105"/>
                <w:sz w:val="18"/>
              </w:rPr>
              <w:t>40%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312" w:hRule="exact"/>
        </w:trPr>
        <w:tc>
          <w:tcPr>
            <w:tcW w:w="507" w:type="dxa"/>
            <w:vAlign w:val="center"/>
          </w:tcPr>
          <w:p>
            <w:pPr>
              <w:pStyle w:val="11"/>
              <w:spacing w:before="61"/>
              <w:ind w:right="245"/>
              <w:jc w:val="center"/>
              <w:rPr>
                <w:rFonts w:ascii="宋体"/>
                <w:sz w:val="18"/>
              </w:rPr>
            </w:pPr>
            <w:r>
              <w:rPr>
                <w:rFonts w:ascii="宋体"/>
                <w:sz w:val="18"/>
              </w:rPr>
              <w:t>16</w:t>
            </w:r>
          </w:p>
        </w:tc>
        <w:tc>
          <w:tcPr>
            <w:tcW w:w="496" w:type="dxa"/>
            <w:vMerge w:val="continue"/>
            <w:tcBorders>
              <w:top w:val="nil"/>
            </w:tcBorders>
            <w:vAlign w:val="center"/>
          </w:tcPr>
          <w:p>
            <w:pPr>
              <w:jc w:val="center"/>
              <w:rPr>
                <w:sz w:val="2"/>
                <w:szCs w:val="2"/>
              </w:rPr>
            </w:pPr>
          </w:p>
        </w:tc>
        <w:tc>
          <w:tcPr>
            <w:tcW w:w="393" w:type="dxa"/>
            <w:vMerge w:val="continue"/>
            <w:tcBorders>
              <w:top w:val="nil"/>
            </w:tcBorders>
            <w:vAlign w:val="center"/>
          </w:tcPr>
          <w:p>
            <w:pPr>
              <w:jc w:val="center"/>
              <w:rPr>
                <w:sz w:val="2"/>
                <w:szCs w:val="2"/>
              </w:rPr>
            </w:pPr>
          </w:p>
        </w:tc>
        <w:tc>
          <w:tcPr>
            <w:tcW w:w="2792" w:type="dxa"/>
            <w:vAlign w:val="center"/>
          </w:tcPr>
          <w:p>
            <w:pPr>
              <w:pStyle w:val="11"/>
              <w:spacing w:before="61"/>
              <w:ind w:left="37"/>
              <w:jc w:val="center"/>
              <w:rPr>
                <w:rFonts w:hint="eastAsia" w:ascii="宋体" w:eastAsia="宋体"/>
                <w:sz w:val="18"/>
              </w:rPr>
            </w:pPr>
            <w:r>
              <w:rPr>
                <w:rFonts w:hint="eastAsia" w:ascii="宋体" w:eastAsia="宋体"/>
                <w:w w:val="105"/>
                <w:sz w:val="18"/>
              </w:rPr>
              <w:t>设施蔬菜收入保险（含棚体损失）</w:t>
            </w:r>
          </w:p>
        </w:tc>
        <w:tc>
          <w:tcPr>
            <w:tcW w:w="854" w:type="dxa"/>
            <w:vAlign w:val="center"/>
          </w:tcPr>
          <w:p>
            <w:pPr>
              <w:pStyle w:val="11"/>
              <w:ind w:right="260"/>
              <w:jc w:val="center"/>
              <w:rPr>
                <w:sz w:val="18"/>
              </w:rPr>
            </w:pPr>
            <w:r>
              <w:rPr>
                <w:sz w:val="18"/>
              </w:rPr>
              <w:t>13000</w:t>
            </w:r>
          </w:p>
        </w:tc>
        <w:tc>
          <w:tcPr>
            <w:tcW w:w="923" w:type="dxa"/>
            <w:vAlign w:val="center"/>
          </w:tcPr>
          <w:p>
            <w:pPr>
              <w:pStyle w:val="11"/>
              <w:ind w:left="213" w:right="178"/>
              <w:jc w:val="center"/>
              <w:rPr>
                <w:sz w:val="18"/>
              </w:rPr>
            </w:pPr>
            <w:r>
              <w:rPr>
                <w:w w:val="105"/>
                <w:sz w:val="18"/>
              </w:rPr>
              <w:t>4.0%</w:t>
            </w:r>
          </w:p>
        </w:tc>
        <w:tc>
          <w:tcPr>
            <w:tcW w:w="727" w:type="dxa"/>
            <w:vAlign w:val="center"/>
          </w:tcPr>
          <w:p>
            <w:pPr>
              <w:pStyle w:val="11"/>
              <w:ind w:left="111" w:right="77"/>
              <w:jc w:val="center"/>
              <w:rPr>
                <w:sz w:val="18"/>
              </w:rPr>
            </w:pPr>
            <w:r>
              <w:rPr>
                <w:w w:val="105"/>
                <w:sz w:val="18"/>
              </w:rPr>
              <w:t>520</w:t>
            </w:r>
          </w:p>
        </w:tc>
        <w:tc>
          <w:tcPr>
            <w:tcW w:w="888" w:type="dxa"/>
            <w:vAlign w:val="center"/>
          </w:tcPr>
          <w:p>
            <w:pPr>
              <w:pStyle w:val="11"/>
              <w:ind w:right="404"/>
              <w:jc w:val="center"/>
              <w:rPr>
                <w:sz w:val="18"/>
              </w:rPr>
            </w:pPr>
            <w:r>
              <w:rPr>
                <w:w w:val="105"/>
                <w:sz w:val="18"/>
              </w:rPr>
              <w:t>0%</w:t>
            </w:r>
          </w:p>
        </w:tc>
        <w:tc>
          <w:tcPr>
            <w:tcW w:w="889" w:type="dxa"/>
            <w:vAlign w:val="center"/>
          </w:tcPr>
          <w:p>
            <w:pPr>
              <w:pStyle w:val="11"/>
              <w:ind w:right="404"/>
              <w:jc w:val="center"/>
              <w:rPr>
                <w:sz w:val="18"/>
              </w:rPr>
            </w:pPr>
            <w:r>
              <w:rPr>
                <w:w w:val="105"/>
                <w:sz w:val="18"/>
              </w:rPr>
              <w:t>40%</w:t>
            </w:r>
          </w:p>
        </w:tc>
        <w:tc>
          <w:tcPr>
            <w:tcW w:w="1038" w:type="dxa"/>
            <w:vAlign w:val="center"/>
          </w:tcPr>
          <w:p>
            <w:pPr>
              <w:pStyle w:val="11"/>
              <w:ind w:left="65" w:right="23"/>
              <w:jc w:val="center"/>
              <w:rPr>
                <w:sz w:val="18"/>
              </w:rPr>
            </w:pPr>
            <w:r>
              <w:rPr>
                <w:w w:val="105"/>
                <w:sz w:val="18"/>
              </w:rPr>
              <w:t>50%</w:t>
            </w:r>
          </w:p>
        </w:tc>
        <w:tc>
          <w:tcPr>
            <w:tcW w:w="1154" w:type="dxa"/>
            <w:vAlign w:val="center"/>
          </w:tcPr>
          <w:p>
            <w:pPr>
              <w:pStyle w:val="11"/>
              <w:ind w:left="68" w:right="26"/>
              <w:jc w:val="center"/>
              <w:rPr>
                <w:sz w:val="18"/>
              </w:rPr>
            </w:pPr>
            <w:r>
              <w:rPr>
                <w:w w:val="105"/>
                <w:sz w:val="18"/>
              </w:rPr>
              <w:t>40%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2"/>
              <w:ind w:right="245"/>
              <w:jc w:val="center"/>
              <w:rPr>
                <w:rFonts w:ascii="宋体"/>
                <w:sz w:val="18"/>
              </w:rPr>
            </w:pPr>
            <w:r>
              <w:rPr>
                <w:rFonts w:ascii="宋体"/>
                <w:sz w:val="18"/>
              </w:rPr>
              <w:t>17</w:t>
            </w:r>
          </w:p>
        </w:tc>
        <w:tc>
          <w:tcPr>
            <w:tcW w:w="496" w:type="dxa"/>
            <w:vMerge w:val="continue"/>
            <w:tcBorders>
              <w:top w:val="nil"/>
            </w:tcBorders>
            <w:vAlign w:val="center"/>
          </w:tcPr>
          <w:p>
            <w:pPr>
              <w:jc w:val="center"/>
              <w:rPr>
                <w:sz w:val="2"/>
                <w:szCs w:val="2"/>
              </w:rPr>
            </w:pPr>
          </w:p>
        </w:tc>
        <w:tc>
          <w:tcPr>
            <w:tcW w:w="3185" w:type="dxa"/>
            <w:gridSpan w:val="2"/>
            <w:vAlign w:val="center"/>
          </w:tcPr>
          <w:p>
            <w:pPr>
              <w:pStyle w:val="11"/>
              <w:spacing w:before="62"/>
              <w:jc w:val="center"/>
              <w:rPr>
                <w:rFonts w:hint="eastAsia" w:ascii="宋体" w:eastAsia="宋体"/>
                <w:sz w:val="18"/>
              </w:rPr>
            </w:pPr>
            <w:r>
              <w:rPr>
                <w:rFonts w:hint="eastAsia" w:ascii="宋体" w:eastAsia="宋体"/>
                <w:w w:val="105"/>
                <w:sz w:val="18"/>
              </w:rPr>
              <w:t>育肥猪（成本+目标价格保险）</w:t>
            </w:r>
          </w:p>
        </w:tc>
        <w:tc>
          <w:tcPr>
            <w:tcW w:w="854" w:type="dxa"/>
            <w:vAlign w:val="center"/>
          </w:tcPr>
          <w:p>
            <w:pPr>
              <w:pStyle w:val="11"/>
              <w:ind w:right="306"/>
              <w:jc w:val="center"/>
              <w:rPr>
                <w:sz w:val="18"/>
              </w:rPr>
            </w:pPr>
            <w:r>
              <w:rPr>
                <w:sz w:val="18"/>
              </w:rPr>
              <w:t>1000</w:t>
            </w:r>
          </w:p>
        </w:tc>
        <w:tc>
          <w:tcPr>
            <w:tcW w:w="923" w:type="dxa"/>
            <w:vAlign w:val="center"/>
          </w:tcPr>
          <w:p>
            <w:pPr>
              <w:pStyle w:val="11"/>
              <w:ind w:left="213" w:right="178"/>
              <w:jc w:val="center"/>
              <w:rPr>
                <w:sz w:val="18"/>
              </w:rPr>
            </w:pPr>
            <w:r>
              <w:rPr>
                <w:w w:val="105"/>
                <w:sz w:val="18"/>
              </w:rPr>
              <w:t>5.0%</w:t>
            </w:r>
          </w:p>
        </w:tc>
        <w:tc>
          <w:tcPr>
            <w:tcW w:w="727" w:type="dxa"/>
            <w:vAlign w:val="center"/>
          </w:tcPr>
          <w:p>
            <w:pPr>
              <w:pStyle w:val="11"/>
              <w:ind w:left="111" w:right="71"/>
              <w:jc w:val="center"/>
              <w:rPr>
                <w:sz w:val="18"/>
              </w:rPr>
            </w:pPr>
            <w:r>
              <w:rPr>
                <w:w w:val="105"/>
                <w:sz w:val="18"/>
              </w:rPr>
              <w:t>50</w:t>
            </w:r>
          </w:p>
        </w:tc>
        <w:tc>
          <w:tcPr>
            <w:tcW w:w="888" w:type="dxa"/>
            <w:vAlign w:val="center"/>
          </w:tcPr>
          <w:p>
            <w:pPr>
              <w:pStyle w:val="11"/>
              <w:ind w:right="404"/>
              <w:jc w:val="center"/>
              <w:rPr>
                <w:sz w:val="18"/>
              </w:rPr>
            </w:pPr>
            <w:r>
              <w:rPr>
                <w:w w:val="105"/>
                <w:sz w:val="18"/>
              </w:rPr>
              <w:t>0%</w:t>
            </w:r>
          </w:p>
        </w:tc>
        <w:tc>
          <w:tcPr>
            <w:tcW w:w="889" w:type="dxa"/>
            <w:vAlign w:val="center"/>
          </w:tcPr>
          <w:p>
            <w:pPr>
              <w:pStyle w:val="11"/>
              <w:ind w:right="404"/>
              <w:jc w:val="center"/>
              <w:rPr>
                <w:sz w:val="18"/>
              </w:rPr>
            </w:pPr>
            <w:r>
              <w:rPr>
                <w:w w:val="105"/>
                <w:sz w:val="18"/>
              </w:rPr>
              <w:t>40%</w:t>
            </w:r>
          </w:p>
        </w:tc>
        <w:tc>
          <w:tcPr>
            <w:tcW w:w="1038" w:type="dxa"/>
            <w:vAlign w:val="center"/>
          </w:tcPr>
          <w:p>
            <w:pPr>
              <w:pStyle w:val="11"/>
              <w:ind w:left="65" w:right="23"/>
              <w:jc w:val="center"/>
              <w:rPr>
                <w:sz w:val="18"/>
              </w:rPr>
            </w:pPr>
            <w:r>
              <w:rPr>
                <w:w w:val="105"/>
                <w:sz w:val="18"/>
              </w:rPr>
              <w:t>50%</w:t>
            </w:r>
          </w:p>
        </w:tc>
        <w:tc>
          <w:tcPr>
            <w:tcW w:w="1154" w:type="dxa"/>
            <w:vAlign w:val="center"/>
          </w:tcPr>
          <w:p>
            <w:pPr>
              <w:pStyle w:val="11"/>
              <w:ind w:left="68" w:right="26"/>
              <w:jc w:val="center"/>
              <w:rPr>
                <w:sz w:val="18"/>
              </w:rPr>
            </w:pPr>
            <w:r>
              <w:rPr>
                <w:w w:val="105"/>
                <w:sz w:val="18"/>
              </w:rPr>
              <w:t>40%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exact"/>
        </w:trPr>
        <w:tc>
          <w:tcPr>
            <w:tcW w:w="507" w:type="dxa"/>
            <w:vAlign w:val="center"/>
          </w:tcPr>
          <w:p>
            <w:pPr>
              <w:pStyle w:val="11"/>
              <w:spacing w:before="62"/>
              <w:ind w:right="245"/>
              <w:jc w:val="center"/>
              <w:rPr>
                <w:rFonts w:ascii="宋体"/>
                <w:sz w:val="18"/>
              </w:rPr>
            </w:pPr>
            <w:r>
              <w:rPr>
                <w:rFonts w:ascii="宋体"/>
                <w:sz w:val="18"/>
              </w:rPr>
              <w:t>18</w:t>
            </w:r>
          </w:p>
        </w:tc>
        <w:tc>
          <w:tcPr>
            <w:tcW w:w="496" w:type="dxa"/>
            <w:vMerge w:val="continue"/>
            <w:tcBorders>
              <w:top w:val="nil"/>
            </w:tcBorders>
            <w:vAlign w:val="center"/>
          </w:tcPr>
          <w:p>
            <w:pPr>
              <w:jc w:val="center"/>
              <w:rPr>
                <w:sz w:val="2"/>
                <w:szCs w:val="2"/>
              </w:rPr>
            </w:pPr>
          </w:p>
        </w:tc>
        <w:tc>
          <w:tcPr>
            <w:tcW w:w="3185" w:type="dxa"/>
            <w:gridSpan w:val="2"/>
            <w:vAlign w:val="center"/>
          </w:tcPr>
          <w:p>
            <w:pPr>
              <w:pStyle w:val="11"/>
              <w:spacing w:before="62"/>
              <w:ind w:left="1253"/>
              <w:jc w:val="center"/>
              <w:rPr>
                <w:rFonts w:hint="eastAsia" w:ascii="宋体" w:eastAsia="宋体"/>
                <w:sz w:val="18"/>
              </w:rPr>
            </w:pPr>
            <w:r>
              <w:rPr>
                <w:rFonts w:hint="eastAsia" w:ascii="宋体" w:eastAsia="宋体"/>
                <w:w w:val="105"/>
                <w:sz w:val="18"/>
              </w:rPr>
              <w:t>鸡（收入保险）</w:t>
            </w:r>
          </w:p>
        </w:tc>
        <w:tc>
          <w:tcPr>
            <w:tcW w:w="854" w:type="dxa"/>
            <w:vAlign w:val="center"/>
          </w:tcPr>
          <w:p>
            <w:pPr>
              <w:pStyle w:val="11"/>
              <w:ind w:right="334"/>
              <w:jc w:val="center"/>
              <w:rPr>
                <w:sz w:val="18"/>
              </w:rPr>
            </w:pPr>
            <w:r>
              <w:rPr>
                <w:w w:val="105"/>
                <w:sz w:val="18"/>
              </w:rPr>
              <w:t>40</w:t>
            </w:r>
          </w:p>
        </w:tc>
        <w:tc>
          <w:tcPr>
            <w:tcW w:w="923" w:type="dxa"/>
            <w:vAlign w:val="center"/>
          </w:tcPr>
          <w:p>
            <w:pPr>
              <w:pStyle w:val="11"/>
              <w:ind w:left="213" w:right="176"/>
              <w:jc w:val="center"/>
              <w:rPr>
                <w:sz w:val="18"/>
              </w:rPr>
            </w:pPr>
            <w:r>
              <w:rPr>
                <w:w w:val="105"/>
                <w:sz w:val="18"/>
              </w:rPr>
              <w:t>5%</w:t>
            </w:r>
          </w:p>
        </w:tc>
        <w:tc>
          <w:tcPr>
            <w:tcW w:w="727" w:type="dxa"/>
            <w:vAlign w:val="center"/>
          </w:tcPr>
          <w:p>
            <w:pPr>
              <w:pStyle w:val="11"/>
              <w:ind w:left="36"/>
              <w:jc w:val="center"/>
              <w:rPr>
                <w:sz w:val="18"/>
              </w:rPr>
            </w:pPr>
            <w:r>
              <w:rPr>
                <w:w w:val="103"/>
                <w:sz w:val="18"/>
              </w:rPr>
              <w:t>2</w:t>
            </w:r>
          </w:p>
        </w:tc>
        <w:tc>
          <w:tcPr>
            <w:tcW w:w="888" w:type="dxa"/>
            <w:vAlign w:val="center"/>
          </w:tcPr>
          <w:p>
            <w:pPr>
              <w:pStyle w:val="11"/>
              <w:ind w:right="404"/>
              <w:jc w:val="center"/>
              <w:rPr>
                <w:sz w:val="18"/>
              </w:rPr>
            </w:pPr>
            <w:r>
              <w:rPr>
                <w:w w:val="105"/>
                <w:sz w:val="18"/>
              </w:rPr>
              <w:t>0%</w:t>
            </w:r>
          </w:p>
        </w:tc>
        <w:tc>
          <w:tcPr>
            <w:tcW w:w="889" w:type="dxa"/>
            <w:vAlign w:val="center"/>
          </w:tcPr>
          <w:p>
            <w:pPr>
              <w:pStyle w:val="11"/>
              <w:ind w:right="404"/>
              <w:jc w:val="center"/>
              <w:rPr>
                <w:sz w:val="18"/>
              </w:rPr>
            </w:pPr>
            <w:r>
              <w:rPr>
                <w:w w:val="105"/>
                <w:sz w:val="18"/>
              </w:rPr>
              <w:t>40%</w:t>
            </w:r>
          </w:p>
        </w:tc>
        <w:tc>
          <w:tcPr>
            <w:tcW w:w="1038" w:type="dxa"/>
            <w:vAlign w:val="center"/>
          </w:tcPr>
          <w:p>
            <w:pPr>
              <w:pStyle w:val="11"/>
              <w:ind w:left="65" w:right="23"/>
              <w:jc w:val="center"/>
              <w:rPr>
                <w:sz w:val="18"/>
              </w:rPr>
            </w:pPr>
            <w:r>
              <w:rPr>
                <w:w w:val="105"/>
                <w:sz w:val="18"/>
              </w:rPr>
              <w:t>50%</w:t>
            </w:r>
          </w:p>
        </w:tc>
        <w:tc>
          <w:tcPr>
            <w:tcW w:w="1154" w:type="dxa"/>
            <w:vAlign w:val="center"/>
          </w:tcPr>
          <w:p>
            <w:pPr>
              <w:pStyle w:val="11"/>
              <w:ind w:left="68" w:right="26"/>
              <w:jc w:val="center"/>
              <w:rPr>
                <w:sz w:val="18"/>
              </w:rPr>
            </w:pPr>
            <w:r>
              <w:rPr>
                <w:w w:val="105"/>
                <w:sz w:val="18"/>
              </w:rPr>
              <w:t>40%</w:t>
            </w:r>
          </w:p>
        </w:tc>
        <w:tc>
          <w:tcPr>
            <w:tcW w:w="819" w:type="dxa"/>
            <w:vAlign w:val="center"/>
          </w:tcPr>
          <w:p>
            <w:pPr>
              <w:pStyle w:val="11"/>
              <w:ind w:left="65" w:right="23"/>
              <w:jc w:val="center"/>
              <w:rPr>
                <w:sz w:val="18"/>
              </w:rPr>
            </w:pPr>
            <w:r>
              <w:rPr>
                <w:w w:val="105"/>
                <w:sz w:val="18"/>
              </w:rPr>
              <w:t>10%</w:t>
            </w:r>
          </w:p>
        </w:tc>
        <w:tc>
          <w:tcPr>
            <w:tcW w:w="1027" w:type="dxa"/>
            <w:vAlign w:val="center"/>
          </w:tcPr>
          <w:p>
            <w:pPr>
              <w:pStyle w:val="11"/>
              <w:ind w:left="111" w:right="68"/>
              <w:jc w:val="center"/>
              <w:rPr>
                <w:sz w:val="18"/>
              </w:rPr>
            </w:pPr>
            <w:r>
              <w:rPr>
                <w:w w:val="105"/>
                <w:sz w:val="18"/>
              </w:rPr>
              <w:t>20%</w:t>
            </w:r>
          </w:p>
        </w:tc>
      </w:tr>
    </w:tbl>
    <w:p>
      <w:pPr>
        <w:pStyle w:val="3"/>
        <w:spacing w:before="12"/>
        <w:rPr>
          <w:rFonts w:ascii="黑体"/>
          <w:b w:val="0"/>
          <w:sz w:val="39"/>
        </w:rPr>
      </w:pPr>
      <w:r>
        <w:rPr>
          <w:b w:val="0"/>
        </w:rPr>
        <w:br w:type="column"/>
      </w:r>
    </w:p>
    <w:p>
      <w:pPr>
        <w:pStyle w:val="3"/>
        <w:ind w:left="170"/>
      </w:pPr>
      <w:r>
        <w:rPr>
          <w:w w:val="95"/>
        </w:rPr>
        <w:t>甘肃省2019年农业保险中央和省级补贴品种一览表</w:t>
      </w:r>
    </w:p>
    <w:p>
      <w:pPr>
        <w:pStyle w:val="3"/>
        <w:ind w:firstLine="3240" w:firstLineChars="1800"/>
        <w:rPr>
          <w:sz w:val="18"/>
          <w:szCs w:val="18"/>
        </w:rPr>
      </w:pPr>
      <w:r>
        <w:rPr>
          <w:rFonts w:hint="eastAsia"/>
          <w:b w:val="0"/>
          <w:sz w:val="18"/>
          <w:szCs w:val="18"/>
          <w:lang w:eastAsia="zh-CN"/>
        </w:rPr>
        <w:t>（单位：元）</w:t>
      </w:r>
      <w:r>
        <w:rPr>
          <w:b w:val="0"/>
          <w:sz w:val="18"/>
          <w:szCs w:val="18"/>
        </w:rPr>
        <w:br w:type="column"/>
      </w:r>
    </w:p>
    <w:p>
      <w:pPr>
        <w:pStyle w:val="3"/>
        <w:rPr>
          <w:sz w:val="16"/>
        </w:rPr>
      </w:pPr>
    </w:p>
    <w:p>
      <w:pPr>
        <w:spacing w:after="0"/>
        <w:jc w:val="left"/>
        <w:rPr>
          <w:rFonts w:hint="eastAsia" w:ascii="宋体" w:eastAsia="宋体"/>
          <w:sz w:val="17"/>
        </w:rPr>
        <w:sectPr>
          <w:pgSz w:w="16840" w:h="11910" w:orient="landscape"/>
          <w:pgMar w:top="1100" w:right="920" w:bottom="280" w:left="920" w:header="720" w:footer="720" w:gutter="0"/>
          <w:pgNumType w:fmt="numberInDash"/>
          <w:cols w:equalWidth="0" w:num="3">
            <w:col w:w="974" w:space="2569"/>
            <w:col w:w="7719" w:space="2481"/>
            <w:col w:w="1257"/>
          </w:cols>
        </w:sectPr>
      </w:pPr>
    </w:p>
    <w:p>
      <w:pPr>
        <w:pStyle w:val="2"/>
      </w:pPr>
    </w:p>
    <w:sectPr>
      <w:pgSz w:w="16781" w:h="11849" w:orient="landscape"/>
      <w:pgMar w:top="1474" w:right="2098" w:bottom="1474" w:left="1984" w:header="851" w:footer="992" w:gutter="0"/>
      <w:pgNumType w:fmt="numberInDash"/>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23D83D"/>
    <w:multiLevelType w:val="singleLevel"/>
    <w:tmpl w:val="BD23D83D"/>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C17C8B"/>
    <w:rsid w:val="08AB5B7F"/>
    <w:rsid w:val="0D9E1662"/>
    <w:rsid w:val="18C17C8B"/>
    <w:rsid w:val="1E2855C0"/>
    <w:rsid w:val="1EC65711"/>
    <w:rsid w:val="22834F30"/>
    <w:rsid w:val="300C1B6B"/>
    <w:rsid w:val="310F6D48"/>
    <w:rsid w:val="369144DF"/>
    <w:rsid w:val="3A115928"/>
    <w:rsid w:val="3A143F09"/>
    <w:rsid w:val="432C41AB"/>
    <w:rsid w:val="49B47C9B"/>
    <w:rsid w:val="4DD61504"/>
    <w:rsid w:val="52200609"/>
    <w:rsid w:val="56B97C45"/>
    <w:rsid w:val="5BB76CAC"/>
    <w:rsid w:val="5C7036EA"/>
    <w:rsid w:val="5DB413CC"/>
    <w:rsid w:val="5E673B20"/>
    <w:rsid w:val="63DE559F"/>
    <w:rsid w:val="65693389"/>
    <w:rsid w:val="65D14E8C"/>
    <w:rsid w:val="66307294"/>
    <w:rsid w:val="69F572FE"/>
    <w:rsid w:val="6BB85852"/>
    <w:rsid w:val="76805B10"/>
    <w:rsid w:val="76D85B07"/>
    <w:rsid w:val="7FD2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Calibri" w:cs="Times New Roman"/>
      <w:kern w:val="2"/>
      <w:sz w:val="21"/>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rPr>
      <w:rFonts w:ascii="Times New Roman" w:hAnsi="Times New Roman" w:cs="Times New Roman"/>
    </w:rPr>
  </w:style>
  <w:style w:type="paragraph" w:styleId="3">
    <w:name w:val="Body Text"/>
    <w:basedOn w:val="1"/>
    <w:qFormat/>
    <w:uiPriority w:val="1"/>
    <w:rPr>
      <w:rFonts w:ascii="宋体" w:hAnsi="宋体" w:eastAsia="宋体" w:cs="宋体"/>
      <w:b/>
      <w:bCs/>
      <w:sz w:val="34"/>
      <w:szCs w:val="34"/>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btLr"/>
    </w:tcPr>
  </w:style>
  <w:style w:type="character" w:styleId="10">
    <w:name w:val="Hyperlink"/>
    <w:basedOn w:val="9"/>
    <w:qFormat/>
    <w:uiPriority w:val="0"/>
    <w:rPr>
      <w:color w:val="0000FF"/>
      <w:u w:val="single"/>
    </w:rPr>
  </w:style>
  <w:style w:type="paragraph" w:customStyle="1" w:styleId="11">
    <w:name w:val="Table Paragraph"/>
    <w:basedOn w:val="1"/>
    <w:qFormat/>
    <w:uiPriority w:val="1"/>
    <w:pPr>
      <w:spacing w:before="59"/>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2019-03-12T01:45:00Z</dcterms:created>
  <dc:creator>浪雨文心</dc:creator>
  <cp:lastModifiedBy>浪雨文心</cp:lastModifiedBy>
  <cp:lastPrinted>2019-04-11T08:08:00Z</cp:lastPrinted>
  <dcterms:modified xsi:type="dcterms:W3CDTF">2019-04-17T07:21:07Z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